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CellMar>
          <w:left w:w="57" w:type="dxa"/>
          <w:right w:w="57" w:type="dxa"/>
        </w:tblCellMar>
        <w:tblLook w:val="04A0" w:firstRow="1" w:lastRow="0" w:firstColumn="1" w:lastColumn="0" w:noHBand="0" w:noVBand="1"/>
      </w:tblPr>
      <w:tblGrid>
        <w:gridCol w:w="4819"/>
        <w:gridCol w:w="4820"/>
      </w:tblGrid>
      <w:tr w:rsidR="00024D65" w:rsidRPr="00A37D66" w14:paraId="08BF7E1C" w14:textId="77777777" w:rsidTr="00396CC5">
        <w:trPr>
          <w:jc w:val="center"/>
        </w:trPr>
        <w:tc>
          <w:tcPr>
            <w:tcW w:w="9639" w:type="dxa"/>
            <w:gridSpan w:val="2"/>
            <w:tcBorders>
              <w:top w:val="nil"/>
              <w:left w:val="nil"/>
              <w:bottom w:val="nil"/>
              <w:right w:val="nil"/>
            </w:tcBorders>
          </w:tcPr>
          <w:bookmarkStart w:id="0" w:name="_GoBack"/>
          <w:bookmarkEnd w:id="0"/>
          <w:p w14:paraId="2906E658" w14:textId="77777777" w:rsidR="00024D65" w:rsidRPr="00A37D66" w:rsidRDefault="00024D65" w:rsidP="00396CC5">
            <w:pPr>
              <w:jc w:val="center"/>
              <w:rPr>
                <w:highlight w:val="yellow"/>
              </w:rPr>
            </w:pPr>
            <w:r w:rsidRPr="00A37D66">
              <w:rPr>
                <w:highlight w:val="yellow"/>
              </w:rPr>
              <w:object w:dxaOrig="3330" w:dyaOrig="1665" w14:anchorId="69241A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82.5pt" o:ole="">
                  <v:imagedata r:id="rId4" o:title=""/>
                </v:shape>
                <o:OLEObject Type="Embed" ProgID="PBrush" ShapeID="_x0000_i1025" DrawAspect="Content" ObjectID="_1729315522" r:id="rId5"/>
              </w:object>
            </w:r>
          </w:p>
        </w:tc>
      </w:tr>
      <w:tr w:rsidR="00024D65" w:rsidRPr="00A37D66" w14:paraId="356FB0E8" w14:textId="77777777" w:rsidTr="00B9565A">
        <w:trPr>
          <w:jc w:val="center"/>
        </w:trPr>
        <w:tc>
          <w:tcPr>
            <w:tcW w:w="9639" w:type="dxa"/>
            <w:gridSpan w:val="2"/>
            <w:tcBorders>
              <w:top w:val="nil"/>
              <w:left w:val="nil"/>
              <w:bottom w:val="single" w:sz="4" w:space="0" w:color="BFBFBF" w:themeColor="background1" w:themeShade="BF"/>
              <w:right w:val="nil"/>
            </w:tcBorders>
          </w:tcPr>
          <w:p w14:paraId="3555BE3B" w14:textId="2072F470" w:rsidR="001B5636" w:rsidRPr="001B5636" w:rsidRDefault="001B5636" w:rsidP="001B5636">
            <w:pPr>
              <w:spacing w:before="40" w:after="120"/>
              <w:jc w:val="center"/>
              <w:rPr>
                <w:rFonts w:ascii="Cambria" w:hAnsi="Cambria"/>
                <w:sz w:val="20"/>
                <w:szCs w:val="20"/>
                <w:lang w:val="pl-PL"/>
              </w:rPr>
            </w:pPr>
            <w:r w:rsidRPr="001B5636">
              <w:rPr>
                <w:rFonts w:ascii="Cambria" w:hAnsi="Cambria"/>
                <w:sz w:val="20"/>
                <w:szCs w:val="20"/>
                <w:lang w:val="pl-PL"/>
              </w:rPr>
              <w:t xml:space="preserve">Sertifikaciono telo, </w:t>
            </w:r>
            <w:r w:rsidR="00024D65" w:rsidRPr="001B5636">
              <w:rPr>
                <w:rFonts w:ascii="Cambria" w:hAnsi="Cambria"/>
                <w:sz w:val="20"/>
                <w:szCs w:val="20"/>
                <w:lang w:val="pl-PL"/>
              </w:rPr>
              <w:t>Novi Sad, Bulevar vojvode Stepe br. 66</w:t>
            </w:r>
          </w:p>
        </w:tc>
      </w:tr>
      <w:tr w:rsidR="00024D65" w:rsidRPr="00A37D66" w14:paraId="2DFFD1C3" w14:textId="77777777" w:rsidTr="00396CC5">
        <w:trPr>
          <w:jc w:val="center"/>
        </w:trPr>
        <w:tc>
          <w:tcPr>
            <w:tcW w:w="9639" w:type="dxa"/>
            <w:gridSpan w:val="2"/>
            <w:tcBorders>
              <w:top w:val="single" w:sz="4" w:space="0" w:color="BFBFBF" w:themeColor="background1" w:themeShade="BF"/>
              <w:left w:val="nil"/>
              <w:bottom w:val="single" w:sz="4" w:space="0" w:color="BFBFBF" w:themeColor="background1" w:themeShade="BF"/>
              <w:right w:val="nil"/>
            </w:tcBorders>
          </w:tcPr>
          <w:p w14:paraId="1B9E967C" w14:textId="48474127" w:rsidR="00024D65" w:rsidRPr="00A37D66" w:rsidRDefault="00A37D66" w:rsidP="00A04545">
            <w:pPr>
              <w:spacing w:before="240" w:after="240"/>
              <w:jc w:val="center"/>
              <w:rPr>
                <w:rFonts w:ascii="Cambria" w:hAnsi="Cambria"/>
                <w:sz w:val="28"/>
                <w:szCs w:val="28"/>
                <w:highlight w:val="yellow"/>
                <w:lang w:val="pl-PL"/>
              </w:rPr>
            </w:pPr>
            <w:r w:rsidRPr="00A37D66">
              <w:rPr>
                <w:rFonts w:ascii="Cambria" w:hAnsi="Cambria"/>
                <w:b/>
                <w:bCs/>
                <w:sz w:val="28"/>
                <w:szCs w:val="28"/>
              </w:rPr>
              <w:t>UGOVOR O OCENJIVANJU USAGLAŠENOSTI</w:t>
            </w:r>
            <w:r w:rsidR="001B5636">
              <w:rPr>
                <w:rFonts w:ascii="Cambria" w:hAnsi="Cambria"/>
                <w:b/>
                <w:bCs/>
                <w:sz w:val="28"/>
                <w:szCs w:val="28"/>
              </w:rPr>
              <w:t xml:space="preserve"> PROIZVODA</w:t>
            </w:r>
            <w:r w:rsidR="00A85180" w:rsidRPr="00A37D66">
              <w:rPr>
                <w:rFonts w:ascii="Cambria" w:hAnsi="Cambria"/>
                <w:b/>
                <w:bCs/>
                <w:sz w:val="28"/>
                <w:szCs w:val="28"/>
              </w:rPr>
              <w:br/>
            </w:r>
            <w:r w:rsidR="00A85180" w:rsidRPr="00A37D66">
              <w:rPr>
                <w:rFonts w:ascii="Cambria" w:hAnsi="Cambria"/>
                <w:b/>
                <w:bCs/>
                <w:sz w:val="28"/>
                <w:szCs w:val="28"/>
                <w:lang w:val="pl-PL"/>
              </w:rPr>
              <w:t>broj ..........</w:t>
            </w:r>
          </w:p>
        </w:tc>
      </w:tr>
      <w:tr w:rsidR="00A85180" w:rsidRPr="00A37D66" w14:paraId="7874BA01" w14:textId="77777777" w:rsidTr="001B5636">
        <w:trPr>
          <w:jc w:val="center"/>
        </w:trPr>
        <w:tc>
          <w:tcPr>
            <w:tcW w:w="9639" w:type="dxa"/>
            <w:gridSpan w:val="2"/>
            <w:tcBorders>
              <w:top w:val="single" w:sz="4" w:space="0" w:color="BFBFBF" w:themeColor="background1" w:themeShade="BF"/>
              <w:left w:val="nil"/>
              <w:bottom w:val="single" w:sz="4" w:space="0" w:color="BFBFBF" w:themeColor="background1" w:themeShade="BF"/>
              <w:right w:val="nil"/>
            </w:tcBorders>
          </w:tcPr>
          <w:p w14:paraId="6FE80667" w14:textId="279A2053" w:rsidR="00A85180" w:rsidRPr="00A37D66" w:rsidRDefault="00A85180" w:rsidP="00A85180">
            <w:pPr>
              <w:spacing w:before="60" w:after="60"/>
              <w:jc w:val="both"/>
              <w:rPr>
                <w:rFonts w:ascii="Cambria" w:hAnsi="Cambria"/>
                <w:color w:val="0D0D0D" w:themeColor="text1" w:themeTint="F2"/>
                <w:sz w:val="20"/>
                <w:szCs w:val="20"/>
              </w:rPr>
            </w:pPr>
            <w:r w:rsidRPr="00A37D66">
              <w:rPr>
                <w:rFonts w:ascii="Cambria" w:hAnsi="Cambria"/>
                <w:color w:val="0D0D0D" w:themeColor="text1" w:themeTint="F2"/>
                <w:sz w:val="20"/>
                <w:szCs w:val="20"/>
              </w:rPr>
              <w:t>zaključen dana ......................, u Novom Sadu, između:</w:t>
            </w:r>
          </w:p>
          <w:p w14:paraId="1447E49F" w14:textId="0F3BB88E" w:rsidR="00A85180" w:rsidRPr="00A37D66" w:rsidRDefault="00A85180" w:rsidP="00A85180">
            <w:pPr>
              <w:spacing w:before="60" w:after="60"/>
              <w:jc w:val="both"/>
              <w:rPr>
                <w:rFonts w:ascii="Cambria" w:hAnsi="Cambria"/>
                <w:color w:val="0D0D0D" w:themeColor="text1" w:themeTint="F2"/>
                <w:sz w:val="20"/>
                <w:szCs w:val="20"/>
              </w:rPr>
            </w:pPr>
            <w:r w:rsidRPr="00A37D66">
              <w:rPr>
                <w:rFonts w:ascii="Cambria" w:hAnsi="Cambria"/>
                <w:color w:val="0D0D0D" w:themeColor="text1" w:themeTint="F2"/>
                <w:sz w:val="20"/>
                <w:szCs w:val="20"/>
              </w:rPr>
              <w:t xml:space="preserve">– ......................................................... </w:t>
            </w:r>
          </w:p>
          <w:p w14:paraId="3924CCDE" w14:textId="204B12A3" w:rsidR="00A85180" w:rsidRPr="00A37D66" w:rsidRDefault="00A85180" w:rsidP="00A85180">
            <w:pPr>
              <w:spacing w:before="60" w:after="60"/>
              <w:jc w:val="both"/>
              <w:rPr>
                <w:rFonts w:ascii="Cambria" w:hAnsi="Cambria"/>
                <w:color w:val="0D0D0D" w:themeColor="text1" w:themeTint="F2"/>
                <w:sz w:val="20"/>
                <w:szCs w:val="20"/>
              </w:rPr>
            </w:pPr>
            <w:r w:rsidRPr="00A37D66">
              <w:rPr>
                <w:rFonts w:ascii="Cambria" w:hAnsi="Cambria"/>
                <w:color w:val="0D0D0D" w:themeColor="text1" w:themeTint="F2"/>
                <w:sz w:val="20"/>
                <w:szCs w:val="20"/>
              </w:rPr>
              <w:t>matični broj ....................., PIB ...................., koga zastupa ............................. (u daljem tekstu: Naručilac usluge)</w:t>
            </w:r>
          </w:p>
          <w:p w14:paraId="53D42BE0" w14:textId="77777777" w:rsidR="00A85180" w:rsidRPr="00A37D66" w:rsidRDefault="00A85180" w:rsidP="00A85180">
            <w:pPr>
              <w:spacing w:before="60" w:after="60"/>
              <w:jc w:val="both"/>
              <w:rPr>
                <w:rFonts w:ascii="Cambria" w:hAnsi="Cambria"/>
                <w:color w:val="0D0D0D" w:themeColor="text1" w:themeTint="F2"/>
                <w:sz w:val="20"/>
                <w:szCs w:val="20"/>
              </w:rPr>
            </w:pPr>
            <w:r w:rsidRPr="00A37D66">
              <w:rPr>
                <w:rFonts w:ascii="Cambria" w:hAnsi="Cambria"/>
                <w:color w:val="0D0D0D" w:themeColor="text1" w:themeTint="F2"/>
                <w:sz w:val="20"/>
                <w:szCs w:val="20"/>
              </w:rPr>
              <w:t>i</w:t>
            </w:r>
          </w:p>
          <w:p w14:paraId="72A9D59C" w14:textId="250D2A38" w:rsidR="00A85180" w:rsidRPr="00A37D66" w:rsidRDefault="00A85180" w:rsidP="00EB2DC4">
            <w:pPr>
              <w:spacing w:before="60" w:after="60"/>
              <w:rPr>
                <w:rFonts w:ascii="Cambria" w:hAnsi="Cambria"/>
                <w:color w:val="0D0D0D" w:themeColor="text1" w:themeTint="F2"/>
                <w:sz w:val="20"/>
                <w:szCs w:val="20"/>
                <w:highlight w:val="yellow"/>
              </w:rPr>
            </w:pPr>
            <w:r w:rsidRPr="00A37D66">
              <w:rPr>
                <w:rFonts w:ascii="Cambria" w:hAnsi="Cambria"/>
                <w:color w:val="0D0D0D" w:themeColor="text1" w:themeTint="F2"/>
                <w:sz w:val="20"/>
                <w:szCs w:val="20"/>
              </w:rPr>
              <w:t xml:space="preserve">– </w:t>
            </w:r>
            <w:r w:rsidRPr="00A37D66">
              <w:rPr>
                <w:rFonts w:ascii="Cambria" w:hAnsi="Cambria"/>
                <w:b/>
                <w:bCs/>
                <w:color w:val="0D0D0D" w:themeColor="text1" w:themeTint="F2"/>
                <w:sz w:val="20"/>
                <w:szCs w:val="20"/>
              </w:rPr>
              <w:t>„INSTITUTA VATROGAS“</w:t>
            </w:r>
            <w:r w:rsidRPr="00A37D66">
              <w:rPr>
                <w:rFonts w:ascii="Cambria" w:hAnsi="Cambria"/>
                <w:color w:val="0D0D0D" w:themeColor="text1" w:themeTint="F2"/>
                <w:sz w:val="20"/>
                <w:szCs w:val="20"/>
              </w:rPr>
              <w:t xml:space="preserve"> d.o.o. Novi Sad, Bulevar vojvode Stepe br. 66</w:t>
            </w:r>
            <w:r w:rsidR="00EB2DC4" w:rsidRPr="00A37D66">
              <w:rPr>
                <w:rFonts w:ascii="Cambria" w:hAnsi="Cambria"/>
                <w:color w:val="0D0D0D" w:themeColor="text1" w:themeTint="F2"/>
                <w:sz w:val="20"/>
                <w:szCs w:val="20"/>
              </w:rPr>
              <w:t xml:space="preserve">, </w:t>
            </w:r>
            <w:r w:rsidRPr="00A37D66">
              <w:rPr>
                <w:rFonts w:ascii="Cambria" w:hAnsi="Cambria"/>
                <w:color w:val="0D0D0D" w:themeColor="text1" w:themeTint="F2"/>
                <w:sz w:val="20"/>
                <w:szCs w:val="20"/>
              </w:rPr>
              <w:t xml:space="preserve">matični broj </w:t>
            </w:r>
            <w:r w:rsidR="00EB2DC4" w:rsidRPr="00A37D66">
              <w:rPr>
                <w:rFonts w:ascii="Cambria" w:hAnsi="Cambria"/>
                <w:color w:val="0D0D0D" w:themeColor="text1" w:themeTint="F2"/>
                <w:sz w:val="20"/>
                <w:szCs w:val="20"/>
              </w:rPr>
              <w:t>08345210</w:t>
            </w:r>
            <w:r w:rsidRPr="00A37D66">
              <w:rPr>
                <w:rFonts w:ascii="Cambria" w:hAnsi="Cambria"/>
                <w:color w:val="0D0D0D" w:themeColor="text1" w:themeTint="F2"/>
                <w:sz w:val="20"/>
                <w:szCs w:val="20"/>
              </w:rPr>
              <w:t xml:space="preserve">, </w:t>
            </w:r>
            <w:r w:rsidR="00EB2DC4" w:rsidRPr="00A37D66">
              <w:rPr>
                <w:rFonts w:ascii="Cambria" w:hAnsi="Cambria"/>
                <w:color w:val="0D0D0D" w:themeColor="text1" w:themeTint="F2"/>
                <w:sz w:val="20"/>
                <w:szCs w:val="20"/>
              </w:rPr>
              <w:br/>
            </w:r>
            <w:r w:rsidRPr="00A37D66">
              <w:rPr>
                <w:rFonts w:ascii="Cambria" w:hAnsi="Cambria"/>
                <w:color w:val="0D0D0D" w:themeColor="text1" w:themeTint="F2"/>
                <w:sz w:val="20"/>
                <w:szCs w:val="20"/>
              </w:rPr>
              <w:t xml:space="preserve">PIB </w:t>
            </w:r>
            <w:r w:rsidR="00EB2DC4" w:rsidRPr="00A37D66">
              <w:rPr>
                <w:rFonts w:ascii="Cambria" w:hAnsi="Cambria"/>
                <w:color w:val="0D0D0D" w:themeColor="text1" w:themeTint="F2"/>
                <w:sz w:val="20"/>
                <w:szCs w:val="20"/>
              </w:rPr>
              <w:t>100723018</w:t>
            </w:r>
            <w:r w:rsidRPr="00A37D66">
              <w:rPr>
                <w:rFonts w:ascii="Cambria" w:hAnsi="Cambria"/>
                <w:color w:val="0D0D0D" w:themeColor="text1" w:themeTint="F2"/>
                <w:sz w:val="20"/>
                <w:szCs w:val="20"/>
              </w:rPr>
              <w:t>, koga zastupa Aleksandar Nikolić, izvršni direktor (u daljem tekstu: Izvršilac usluge)</w:t>
            </w:r>
          </w:p>
        </w:tc>
      </w:tr>
      <w:tr w:rsidR="00A85180" w:rsidRPr="00A37D66" w14:paraId="7B3D0656" w14:textId="77777777" w:rsidTr="001B5636">
        <w:trPr>
          <w:jc w:val="center"/>
        </w:trPr>
        <w:tc>
          <w:tcPr>
            <w:tcW w:w="9639" w:type="dxa"/>
            <w:gridSpan w:val="2"/>
            <w:tcBorders>
              <w:top w:val="single" w:sz="4" w:space="0" w:color="BFBFBF" w:themeColor="background1" w:themeShade="BF"/>
              <w:left w:val="nil"/>
              <w:bottom w:val="nil"/>
              <w:right w:val="nil"/>
            </w:tcBorders>
          </w:tcPr>
          <w:p w14:paraId="1333FA51" w14:textId="1085BB8F" w:rsidR="00A85180" w:rsidRPr="00A37D66" w:rsidRDefault="00A85180" w:rsidP="00A85180">
            <w:pPr>
              <w:spacing w:before="120" w:after="60"/>
              <w:jc w:val="both"/>
              <w:rPr>
                <w:rFonts w:ascii="Cambria" w:hAnsi="Cambria"/>
                <w:b/>
                <w:bCs/>
                <w:color w:val="0D0D0D" w:themeColor="text1" w:themeTint="F2"/>
                <w:sz w:val="20"/>
                <w:szCs w:val="20"/>
              </w:rPr>
            </w:pPr>
            <w:r w:rsidRPr="00A37D66">
              <w:rPr>
                <w:rFonts w:ascii="Cambria" w:hAnsi="Cambria"/>
                <w:b/>
                <w:bCs/>
                <w:color w:val="0D0D0D" w:themeColor="text1" w:themeTint="F2"/>
                <w:sz w:val="20"/>
                <w:szCs w:val="20"/>
              </w:rPr>
              <w:t>Predmet sporazuma</w:t>
            </w:r>
          </w:p>
          <w:p w14:paraId="6C8E84FF" w14:textId="77777777" w:rsidR="00A85180" w:rsidRPr="00A37D66" w:rsidRDefault="00A85180" w:rsidP="00003362">
            <w:pPr>
              <w:spacing w:before="120" w:after="60"/>
              <w:jc w:val="both"/>
              <w:rPr>
                <w:rFonts w:ascii="Cambria" w:hAnsi="Cambria"/>
                <w:color w:val="0D0D0D" w:themeColor="text1" w:themeTint="F2"/>
                <w:sz w:val="20"/>
                <w:szCs w:val="20"/>
              </w:rPr>
            </w:pPr>
            <w:r w:rsidRPr="00A37D66">
              <w:rPr>
                <w:rFonts w:ascii="Cambria" w:hAnsi="Cambria"/>
                <w:color w:val="0D0D0D" w:themeColor="text1" w:themeTint="F2"/>
                <w:sz w:val="20"/>
                <w:szCs w:val="20"/>
              </w:rPr>
              <w:t>Član 1.</w:t>
            </w:r>
          </w:p>
          <w:p w14:paraId="221ADA7F" w14:textId="799BA633" w:rsidR="00A85180" w:rsidRPr="00A37D66" w:rsidRDefault="00A85180" w:rsidP="000410CA">
            <w:pPr>
              <w:autoSpaceDE w:val="0"/>
              <w:autoSpaceDN w:val="0"/>
              <w:adjustRightInd w:val="0"/>
              <w:spacing w:before="20" w:after="20"/>
              <w:jc w:val="both"/>
              <w:rPr>
                <w:rFonts w:ascii="Cambria" w:hAnsi="Cambria"/>
                <w:color w:val="0D0D0D" w:themeColor="text1" w:themeTint="F2"/>
                <w:sz w:val="20"/>
                <w:szCs w:val="20"/>
                <w:highlight w:val="yellow"/>
              </w:rPr>
            </w:pPr>
            <w:r w:rsidRPr="00A37D66">
              <w:rPr>
                <w:rFonts w:ascii="Cambria" w:hAnsi="Cambria"/>
                <w:color w:val="0D0D0D" w:themeColor="text1" w:themeTint="F2"/>
                <w:sz w:val="20"/>
                <w:szCs w:val="20"/>
              </w:rPr>
              <w:t xml:space="preserve">Predmet ovog </w:t>
            </w:r>
            <w:r w:rsidR="00A37D66" w:rsidRPr="00A37D66">
              <w:rPr>
                <w:rFonts w:ascii="Cambria" w:hAnsi="Cambria"/>
                <w:color w:val="0D0D0D" w:themeColor="text1" w:themeTint="F2"/>
                <w:sz w:val="20"/>
                <w:szCs w:val="20"/>
              </w:rPr>
              <w:t>Ugovora</w:t>
            </w:r>
            <w:r w:rsidRPr="00A37D66">
              <w:rPr>
                <w:rFonts w:ascii="Cambria" w:hAnsi="Cambria"/>
                <w:color w:val="0D0D0D" w:themeColor="text1" w:themeTint="F2"/>
                <w:sz w:val="20"/>
                <w:szCs w:val="20"/>
              </w:rPr>
              <w:t xml:space="preserve"> je regulisanje poslovne saradnje koja se odnosi na </w:t>
            </w:r>
            <w:r w:rsidR="00A37D66" w:rsidRPr="00A37D66">
              <w:rPr>
                <w:rFonts w:ascii="Cambria" w:hAnsi="Cambria"/>
                <w:color w:val="0D0D0D" w:themeColor="text1" w:themeTint="F2"/>
                <w:sz w:val="20"/>
                <w:szCs w:val="20"/>
              </w:rPr>
              <w:t>ocenjivanje usaglašenosti</w:t>
            </w:r>
            <w:r w:rsidRPr="00A37D66">
              <w:rPr>
                <w:rFonts w:ascii="Cambria" w:hAnsi="Cambria"/>
                <w:color w:val="0D0D0D" w:themeColor="text1" w:themeTint="F2"/>
                <w:sz w:val="20"/>
                <w:szCs w:val="20"/>
              </w:rPr>
              <w:t xml:space="preserve"> proizvoda. Naručilac usluge poverava Izvršiocu usluge da za vreme važenja ovog </w:t>
            </w:r>
            <w:r w:rsidR="00A37D66" w:rsidRPr="00A37D66">
              <w:rPr>
                <w:rFonts w:ascii="Cambria" w:hAnsi="Cambria"/>
                <w:color w:val="0D0D0D" w:themeColor="text1" w:themeTint="F2"/>
                <w:sz w:val="20"/>
                <w:szCs w:val="20"/>
              </w:rPr>
              <w:t>Ugovora</w:t>
            </w:r>
            <w:r w:rsidRPr="00A37D66">
              <w:rPr>
                <w:rFonts w:ascii="Cambria" w:hAnsi="Cambria"/>
                <w:color w:val="0D0D0D" w:themeColor="text1" w:themeTint="F2"/>
                <w:sz w:val="20"/>
                <w:szCs w:val="20"/>
              </w:rPr>
              <w:t xml:space="preserve"> vrši </w:t>
            </w:r>
            <w:r w:rsidR="00A37D66" w:rsidRPr="00A37D66">
              <w:rPr>
                <w:rFonts w:ascii="Cambria" w:hAnsi="Cambria"/>
                <w:color w:val="0D0D0D" w:themeColor="text1" w:themeTint="F2"/>
                <w:sz w:val="20"/>
                <w:szCs w:val="20"/>
              </w:rPr>
              <w:t>ocenjivanje usaglašenosti</w:t>
            </w:r>
            <w:r w:rsidRPr="00A37D66">
              <w:rPr>
                <w:rFonts w:ascii="Cambria" w:hAnsi="Cambria"/>
                <w:color w:val="0D0D0D" w:themeColor="text1" w:themeTint="F2"/>
                <w:sz w:val="20"/>
                <w:szCs w:val="20"/>
              </w:rPr>
              <w:t xml:space="preserve"> proizvoda u skladu sa odredbama </w:t>
            </w:r>
            <w:bookmarkStart w:id="1" w:name="_Hlk63333679"/>
            <w:r w:rsidRPr="005B4FDA">
              <w:rPr>
                <w:rFonts w:ascii="Cambria" w:hAnsi="Cambria"/>
                <w:i/>
                <w:iCs/>
                <w:color w:val="0D0D0D" w:themeColor="text1" w:themeTint="F2"/>
                <w:sz w:val="20"/>
                <w:szCs w:val="20"/>
              </w:rPr>
              <w:t>Pravilnika o radio opremi i telekomunikacionoj terminalnoj opremi</w:t>
            </w:r>
            <w:r w:rsidRPr="00A37D66">
              <w:rPr>
                <w:rFonts w:ascii="Cambria" w:hAnsi="Cambria"/>
                <w:color w:val="0D0D0D" w:themeColor="text1" w:themeTint="F2"/>
                <w:sz w:val="20"/>
                <w:szCs w:val="20"/>
              </w:rPr>
              <w:t xml:space="preserve"> (“Službeni glasnik Republike Srbije”, br. 11/2012)</w:t>
            </w:r>
            <w:bookmarkEnd w:id="1"/>
            <w:r w:rsidR="000915C0">
              <w:rPr>
                <w:rFonts w:ascii="Cambria" w:hAnsi="Cambria"/>
                <w:color w:val="0D0D0D" w:themeColor="text1" w:themeTint="F2"/>
                <w:sz w:val="20"/>
                <w:szCs w:val="20"/>
              </w:rPr>
              <w:t xml:space="preserve">, </w:t>
            </w:r>
            <w:r w:rsidR="000915C0" w:rsidRPr="000915C0">
              <w:rPr>
                <w:rFonts w:ascii="Cambria" w:hAnsi="Cambria"/>
                <w:color w:val="0D0D0D" w:themeColor="text1" w:themeTint="F2"/>
                <w:sz w:val="20"/>
                <w:szCs w:val="20"/>
              </w:rPr>
              <w:t>standardu za sertifikaciona tela SRPS EN ISO/IEC 17065:2016</w:t>
            </w:r>
            <w:r w:rsidRPr="00A37D66">
              <w:rPr>
                <w:rFonts w:ascii="Cambria" w:hAnsi="Cambria"/>
                <w:color w:val="0D0D0D" w:themeColor="text1" w:themeTint="F2"/>
                <w:sz w:val="20"/>
                <w:szCs w:val="20"/>
              </w:rPr>
              <w:t xml:space="preserve"> i referentnim harmonizovanim srpskim standardima, za proizvod koji je identifikovan i opisan u </w:t>
            </w:r>
            <w:r w:rsidRPr="005B4FDA">
              <w:rPr>
                <w:rFonts w:ascii="Cambria" w:hAnsi="Cambria"/>
                <w:i/>
                <w:iCs/>
                <w:color w:val="0D0D0D" w:themeColor="text1" w:themeTint="F2"/>
                <w:sz w:val="20"/>
                <w:szCs w:val="20"/>
              </w:rPr>
              <w:t>Zahtevu za ocenjivanje usaglašenosti</w:t>
            </w:r>
            <w:r w:rsidR="00864E86" w:rsidRPr="005B4FDA">
              <w:rPr>
                <w:rFonts w:ascii="Cambria" w:hAnsi="Cambria"/>
                <w:i/>
                <w:iCs/>
                <w:color w:val="0D0D0D" w:themeColor="text1" w:themeTint="F2"/>
                <w:sz w:val="20"/>
                <w:szCs w:val="20"/>
              </w:rPr>
              <w:t xml:space="preserve"> proizvoda</w:t>
            </w:r>
            <w:r w:rsidRPr="00A37D66">
              <w:rPr>
                <w:rFonts w:ascii="Cambria" w:hAnsi="Cambria"/>
                <w:color w:val="0D0D0D" w:themeColor="text1" w:themeTint="F2"/>
                <w:sz w:val="20"/>
                <w:szCs w:val="20"/>
              </w:rPr>
              <w:t xml:space="preserve"> koji popunjava Naručilac usluge.</w:t>
            </w:r>
          </w:p>
        </w:tc>
      </w:tr>
      <w:tr w:rsidR="00A85180" w:rsidRPr="00A37D66" w14:paraId="6A96E707" w14:textId="77777777" w:rsidTr="001B5636">
        <w:trPr>
          <w:jc w:val="center"/>
        </w:trPr>
        <w:tc>
          <w:tcPr>
            <w:tcW w:w="9639" w:type="dxa"/>
            <w:gridSpan w:val="2"/>
            <w:tcBorders>
              <w:top w:val="nil"/>
              <w:left w:val="nil"/>
              <w:bottom w:val="nil"/>
              <w:right w:val="nil"/>
            </w:tcBorders>
          </w:tcPr>
          <w:p w14:paraId="16CFCCCE" w14:textId="0A02CE48" w:rsidR="00A85180" w:rsidRPr="00864E86" w:rsidRDefault="00A85180" w:rsidP="00E10C50">
            <w:pPr>
              <w:spacing w:before="60" w:after="60"/>
              <w:jc w:val="both"/>
              <w:rPr>
                <w:rFonts w:ascii="Cambria" w:hAnsi="Cambria"/>
                <w:b/>
                <w:bCs/>
                <w:color w:val="0D0D0D" w:themeColor="text1" w:themeTint="F2"/>
                <w:sz w:val="20"/>
                <w:szCs w:val="20"/>
              </w:rPr>
            </w:pPr>
            <w:r w:rsidRPr="00864E86">
              <w:rPr>
                <w:rFonts w:ascii="Cambria" w:hAnsi="Cambria"/>
                <w:b/>
                <w:bCs/>
                <w:color w:val="0D0D0D" w:themeColor="text1" w:themeTint="F2"/>
                <w:sz w:val="20"/>
                <w:szCs w:val="20"/>
              </w:rPr>
              <w:t>Obaveze Izvršioca Usluge</w:t>
            </w:r>
          </w:p>
          <w:p w14:paraId="3CF0BF3F" w14:textId="1BF5E0E5" w:rsidR="00A85180" w:rsidRPr="00864E86" w:rsidRDefault="00A85180" w:rsidP="00003362">
            <w:pPr>
              <w:spacing w:before="120" w:after="60"/>
              <w:jc w:val="both"/>
              <w:rPr>
                <w:rFonts w:ascii="Cambria" w:hAnsi="Cambria"/>
                <w:color w:val="0D0D0D" w:themeColor="text1" w:themeTint="F2"/>
                <w:sz w:val="20"/>
                <w:szCs w:val="20"/>
              </w:rPr>
            </w:pPr>
            <w:r w:rsidRPr="00864E86">
              <w:rPr>
                <w:rFonts w:ascii="Cambria" w:hAnsi="Cambria"/>
                <w:color w:val="0D0D0D" w:themeColor="text1" w:themeTint="F2"/>
                <w:sz w:val="20"/>
                <w:szCs w:val="20"/>
              </w:rPr>
              <w:t>Član 2</w:t>
            </w:r>
            <w:r w:rsidR="000410CA">
              <w:rPr>
                <w:rFonts w:ascii="Cambria" w:hAnsi="Cambria"/>
                <w:color w:val="0D0D0D" w:themeColor="text1" w:themeTint="F2"/>
                <w:sz w:val="20"/>
                <w:szCs w:val="20"/>
              </w:rPr>
              <w:t>.</w:t>
            </w:r>
          </w:p>
          <w:p w14:paraId="7AE5A781" w14:textId="797006BA" w:rsidR="00A85180" w:rsidRPr="00864E86" w:rsidRDefault="00A85180" w:rsidP="000410CA">
            <w:pPr>
              <w:autoSpaceDE w:val="0"/>
              <w:autoSpaceDN w:val="0"/>
              <w:adjustRightInd w:val="0"/>
              <w:spacing w:before="20" w:after="20"/>
              <w:jc w:val="both"/>
              <w:rPr>
                <w:rFonts w:ascii="Cambria" w:hAnsi="Cambria"/>
                <w:color w:val="0D0D0D" w:themeColor="text1" w:themeTint="F2"/>
                <w:sz w:val="20"/>
                <w:szCs w:val="20"/>
              </w:rPr>
            </w:pPr>
            <w:r w:rsidRPr="00864E86">
              <w:rPr>
                <w:rFonts w:ascii="Cambria" w:hAnsi="Cambria"/>
                <w:color w:val="0D0D0D" w:themeColor="text1" w:themeTint="F2"/>
                <w:sz w:val="20"/>
                <w:szCs w:val="20"/>
              </w:rPr>
              <w:t xml:space="preserve">Izvršilac usluge se obavezuje da će sve preuzete obaveze, koje su predmet ovog </w:t>
            </w:r>
            <w:r w:rsidR="00864E86" w:rsidRPr="00864E86">
              <w:rPr>
                <w:rFonts w:ascii="Cambria" w:hAnsi="Cambria"/>
                <w:color w:val="0D0D0D" w:themeColor="text1" w:themeTint="F2"/>
                <w:sz w:val="20"/>
                <w:szCs w:val="20"/>
              </w:rPr>
              <w:t>Ugovora o ocenjivanju usaglašenosti</w:t>
            </w:r>
            <w:r w:rsidRPr="00864E86">
              <w:rPr>
                <w:rFonts w:ascii="Cambria" w:hAnsi="Cambria"/>
                <w:color w:val="0D0D0D" w:themeColor="text1" w:themeTint="F2"/>
                <w:sz w:val="20"/>
                <w:szCs w:val="20"/>
              </w:rPr>
              <w:t xml:space="preserve"> izvršiti stručno, nepristrasno i objektivno, vodeći računa o zaštiti interesa, poverljivih informacija i vlasničkih prava Naručioca usluge. Osoblje Izvršioca usluge je u obavezi da čuva poslovnu tajnu, smatrajući poverljivom svaku informaciju primljenu u vezi sa zahtevom za </w:t>
            </w:r>
            <w:r w:rsidR="00864E86" w:rsidRPr="00864E86">
              <w:rPr>
                <w:rFonts w:ascii="Cambria" w:hAnsi="Cambria"/>
                <w:color w:val="0D0D0D" w:themeColor="text1" w:themeTint="F2"/>
                <w:sz w:val="20"/>
                <w:szCs w:val="20"/>
              </w:rPr>
              <w:t>ocenjivanje usaglašenosti</w:t>
            </w:r>
            <w:r w:rsidRPr="00864E86">
              <w:rPr>
                <w:rFonts w:ascii="Cambria" w:hAnsi="Cambria"/>
                <w:color w:val="0D0D0D" w:themeColor="text1" w:themeTint="F2"/>
                <w:sz w:val="20"/>
                <w:szCs w:val="20"/>
              </w:rPr>
              <w:t xml:space="preserve"> proizvoda.</w:t>
            </w:r>
          </w:p>
          <w:p w14:paraId="5757F4FA" w14:textId="42C172C1" w:rsidR="00A85180" w:rsidRPr="00864E86" w:rsidRDefault="00A85180" w:rsidP="00003362">
            <w:pPr>
              <w:spacing w:before="120" w:after="60"/>
              <w:jc w:val="both"/>
              <w:rPr>
                <w:rFonts w:ascii="Cambria" w:hAnsi="Cambria"/>
                <w:color w:val="0D0D0D" w:themeColor="text1" w:themeTint="F2"/>
                <w:sz w:val="20"/>
                <w:szCs w:val="20"/>
              </w:rPr>
            </w:pPr>
            <w:r w:rsidRPr="00864E86">
              <w:rPr>
                <w:rFonts w:ascii="Cambria" w:hAnsi="Cambria"/>
                <w:color w:val="0D0D0D" w:themeColor="text1" w:themeTint="F2"/>
                <w:sz w:val="20"/>
                <w:szCs w:val="20"/>
              </w:rPr>
              <w:t>Član 3</w:t>
            </w:r>
            <w:r w:rsidR="000410CA">
              <w:rPr>
                <w:rFonts w:ascii="Cambria" w:hAnsi="Cambria"/>
                <w:color w:val="0D0D0D" w:themeColor="text1" w:themeTint="F2"/>
                <w:sz w:val="20"/>
                <w:szCs w:val="20"/>
              </w:rPr>
              <w:t>.</w:t>
            </w:r>
          </w:p>
          <w:p w14:paraId="645DF110" w14:textId="7441C9B8" w:rsidR="00A85180" w:rsidRPr="00864E86" w:rsidRDefault="00A85180" w:rsidP="00E10C50">
            <w:pPr>
              <w:spacing w:before="60" w:after="60"/>
              <w:jc w:val="both"/>
              <w:rPr>
                <w:rFonts w:ascii="Cambria" w:hAnsi="Cambria"/>
                <w:color w:val="0D0D0D" w:themeColor="text1" w:themeTint="F2"/>
                <w:sz w:val="20"/>
                <w:szCs w:val="20"/>
              </w:rPr>
            </w:pPr>
            <w:r w:rsidRPr="00864E86">
              <w:rPr>
                <w:rFonts w:ascii="Cambria" w:hAnsi="Cambria"/>
                <w:color w:val="0D0D0D" w:themeColor="text1" w:themeTint="F2"/>
                <w:sz w:val="20"/>
                <w:szCs w:val="20"/>
              </w:rPr>
              <w:t>Izvršilac usluge se obavezuje da će ugovorenu uslugu izvršiti u roku koji ne može biti duži od 15 radnih dana, računajući od dana kada su izvršene finansijske obaveze od strane Naručioca usluge. Izvršilac usluge se obavezuje da će ugovorenu uslugu izvrši u definisanom roku</w:t>
            </w:r>
            <w:r w:rsidR="00B5532C">
              <w:rPr>
                <w:rFonts w:ascii="Cambria" w:hAnsi="Cambria"/>
                <w:color w:val="0D0D0D" w:themeColor="text1" w:themeTint="F2"/>
                <w:sz w:val="20"/>
                <w:szCs w:val="20"/>
              </w:rPr>
              <w:t>,</w:t>
            </w:r>
            <w:r w:rsidRPr="00864E86">
              <w:rPr>
                <w:rFonts w:ascii="Cambria" w:hAnsi="Cambria"/>
                <w:color w:val="0D0D0D" w:themeColor="text1" w:themeTint="F2"/>
                <w:sz w:val="20"/>
                <w:szCs w:val="20"/>
              </w:rPr>
              <w:t xml:space="preserve"> samo ukoliko je Naručilac usluge pri podnošenju zahteva dostavio kompletnu dokumentaciju i ako nisu uočeni nedostaci u priloženoj dokumentaciji.</w:t>
            </w:r>
          </w:p>
          <w:p w14:paraId="02F5CF47" w14:textId="125C2D7C" w:rsidR="00A85180" w:rsidRPr="00864E86" w:rsidRDefault="00A85180" w:rsidP="00003362">
            <w:pPr>
              <w:spacing w:before="120" w:after="60"/>
              <w:jc w:val="both"/>
              <w:rPr>
                <w:rFonts w:ascii="Cambria" w:hAnsi="Cambria"/>
                <w:color w:val="0D0D0D" w:themeColor="text1" w:themeTint="F2"/>
                <w:sz w:val="20"/>
                <w:szCs w:val="20"/>
              </w:rPr>
            </w:pPr>
            <w:r w:rsidRPr="00864E86">
              <w:rPr>
                <w:rFonts w:ascii="Cambria" w:hAnsi="Cambria"/>
                <w:color w:val="0D0D0D" w:themeColor="text1" w:themeTint="F2"/>
                <w:sz w:val="20"/>
                <w:szCs w:val="20"/>
              </w:rPr>
              <w:t>Član 4</w:t>
            </w:r>
            <w:r w:rsidR="000410CA">
              <w:rPr>
                <w:rFonts w:ascii="Cambria" w:hAnsi="Cambria"/>
                <w:color w:val="0D0D0D" w:themeColor="text1" w:themeTint="F2"/>
                <w:sz w:val="20"/>
                <w:szCs w:val="20"/>
              </w:rPr>
              <w:t>.</w:t>
            </w:r>
          </w:p>
          <w:p w14:paraId="2B1D8FD1" w14:textId="77777777" w:rsidR="00A85180" w:rsidRPr="00864E86" w:rsidRDefault="00A85180" w:rsidP="00E10C50">
            <w:pPr>
              <w:spacing w:before="60" w:after="60"/>
              <w:jc w:val="both"/>
              <w:rPr>
                <w:rFonts w:ascii="Cambria" w:hAnsi="Cambria"/>
                <w:color w:val="0D0D0D" w:themeColor="text1" w:themeTint="F2"/>
                <w:sz w:val="20"/>
                <w:szCs w:val="20"/>
              </w:rPr>
            </w:pPr>
            <w:r w:rsidRPr="00864E86">
              <w:rPr>
                <w:rFonts w:ascii="Cambria" w:hAnsi="Cambria"/>
                <w:color w:val="0D0D0D" w:themeColor="text1" w:themeTint="F2"/>
                <w:sz w:val="20"/>
                <w:szCs w:val="20"/>
              </w:rPr>
              <w:t>Ukoliko Izvršilac usluge u toku pregleda dokumentacije konstatuje da postoje određene neusaglašenosti, pisanim putem obaveštava Naručioca usluge. Konstatovane neusaglašenosti Naručilac usluge mora da otkloni u roku koji nije duži od 60 dana.</w:t>
            </w:r>
          </w:p>
          <w:p w14:paraId="2823012C" w14:textId="77777777" w:rsidR="00A85180" w:rsidRPr="00864E86" w:rsidRDefault="00A85180" w:rsidP="00E10C50">
            <w:pPr>
              <w:spacing w:before="60" w:after="60"/>
              <w:jc w:val="both"/>
              <w:rPr>
                <w:rFonts w:ascii="Cambria" w:hAnsi="Cambria"/>
                <w:color w:val="0D0D0D" w:themeColor="text1" w:themeTint="F2"/>
                <w:sz w:val="20"/>
                <w:szCs w:val="20"/>
              </w:rPr>
            </w:pPr>
            <w:r w:rsidRPr="00864E86">
              <w:rPr>
                <w:rFonts w:ascii="Cambria" w:hAnsi="Cambria"/>
                <w:color w:val="0D0D0D" w:themeColor="text1" w:themeTint="F2"/>
                <w:sz w:val="20"/>
                <w:szCs w:val="20"/>
              </w:rPr>
              <w:t>Izvršilac usluge će izvršiti naknadni pregled dostavljene dokumentacije u cilju provere otklonjenosti uočenih neusaglašenosti.</w:t>
            </w:r>
          </w:p>
          <w:p w14:paraId="61F0C0F6" w14:textId="75499994" w:rsidR="00A85180" w:rsidRPr="00864E86" w:rsidRDefault="00A85180" w:rsidP="00003362">
            <w:pPr>
              <w:spacing w:before="120" w:after="60"/>
              <w:jc w:val="both"/>
              <w:rPr>
                <w:rFonts w:ascii="Cambria" w:hAnsi="Cambria"/>
                <w:color w:val="0D0D0D" w:themeColor="text1" w:themeTint="F2"/>
                <w:sz w:val="20"/>
                <w:szCs w:val="20"/>
              </w:rPr>
            </w:pPr>
            <w:r w:rsidRPr="00864E86">
              <w:rPr>
                <w:rFonts w:ascii="Cambria" w:hAnsi="Cambria"/>
                <w:color w:val="0D0D0D" w:themeColor="text1" w:themeTint="F2"/>
                <w:sz w:val="20"/>
                <w:szCs w:val="20"/>
              </w:rPr>
              <w:t>Član 5</w:t>
            </w:r>
            <w:r w:rsidR="000410CA">
              <w:rPr>
                <w:rFonts w:ascii="Cambria" w:hAnsi="Cambria"/>
                <w:color w:val="0D0D0D" w:themeColor="text1" w:themeTint="F2"/>
                <w:sz w:val="20"/>
                <w:szCs w:val="20"/>
              </w:rPr>
              <w:t>.</w:t>
            </w:r>
          </w:p>
          <w:p w14:paraId="6522294A" w14:textId="1F53E644" w:rsidR="00A85180" w:rsidRPr="00A37D66" w:rsidRDefault="00A85180" w:rsidP="00E10C50">
            <w:pPr>
              <w:spacing w:before="60" w:after="60"/>
              <w:jc w:val="both"/>
              <w:rPr>
                <w:rFonts w:ascii="Cambria" w:hAnsi="Cambria"/>
                <w:color w:val="0D0D0D" w:themeColor="text1" w:themeTint="F2"/>
                <w:sz w:val="20"/>
                <w:szCs w:val="20"/>
                <w:highlight w:val="yellow"/>
              </w:rPr>
            </w:pPr>
            <w:r w:rsidRPr="00864E86">
              <w:rPr>
                <w:rFonts w:ascii="Cambria" w:hAnsi="Cambria"/>
                <w:color w:val="0D0D0D" w:themeColor="text1" w:themeTint="F2"/>
                <w:sz w:val="20"/>
                <w:szCs w:val="20"/>
              </w:rPr>
              <w:t xml:space="preserve">Izvršilac usluge se obavezuje da će, bez odlaganja, pismenim putem obaveštavati Naručioca usluge o svim promenama koje su sprovedene u postupku </w:t>
            </w:r>
            <w:r w:rsidR="00864E86" w:rsidRPr="00864E86">
              <w:rPr>
                <w:rFonts w:ascii="Cambria" w:hAnsi="Cambria"/>
                <w:color w:val="0D0D0D" w:themeColor="text1" w:themeTint="F2"/>
                <w:sz w:val="20"/>
                <w:szCs w:val="20"/>
              </w:rPr>
              <w:t>ocenjivanja usaglašenosti</w:t>
            </w:r>
            <w:r w:rsidRPr="00864E86">
              <w:rPr>
                <w:rFonts w:ascii="Cambria" w:hAnsi="Cambria"/>
                <w:color w:val="0D0D0D" w:themeColor="text1" w:themeTint="F2"/>
                <w:sz w:val="20"/>
                <w:szCs w:val="20"/>
              </w:rPr>
              <w:t xml:space="preserve"> proizvoda, kao i o svakoj promeni statusa kompetentnosti, ukoliko do njih dođe u periodu važenja </w:t>
            </w:r>
            <w:r w:rsidR="00864E86" w:rsidRPr="00864E86">
              <w:rPr>
                <w:rFonts w:ascii="Cambria" w:hAnsi="Cambria"/>
                <w:color w:val="0D0D0D" w:themeColor="text1" w:themeTint="F2"/>
                <w:sz w:val="20"/>
                <w:szCs w:val="20"/>
              </w:rPr>
              <w:t>Ugovora</w:t>
            </w:r>
            <w:r w:rsidRPr="00864E86">
              <w:rPr>
                <w:rFonts w:ascii="Cambria" w:hAnsi="Cambria"/>
                <w:color w:val="0D0D0D" w:themeColor="text1" w:themeTint="F2"/>
                <w:sz w:val="20"/>
                <w:szCs w:val="20"/>
              </w:rPr>
              <w:t>.</w:t>
            </w:r>
          </w:p>
        </w:tc>
      </w:tr>
      <w:tr w:rsidR="00A85180" w:rsidRPr="00A37D66" w14:paraId="0F6F4F0E" w14:textId="77777777" w:rsidTr="001B5636">
        <w:trPr>
          <w:jc w:val="center"/>
        </w:trPr>
        <w:tc>
          <w:tcPr>
            <w:tcW w:w="9639" w:type="dxa"/>
            <w:gridSpan w:val="2"/>
            <w:tcBorders>
              <w:top w:val="nil"/>
              <w:left w:val="nil"/>
              <w:bottom w:val="nil"/>
              <w:right w:val="nil"/>
            </w:tcBorders>
          </w:tcPr>
          <w:p w14:paraId="2B5DD4CC" w14:textId="33C402B6" w:rsidR="00A85180" w:rsidRPr="00864E86" w:rsidRDefault="00A85180" w:rsidP="00E10C50">
            <w:pPr>
              <w:spacing w:before="60" w:after="60"/>
              <w:jc w:val="both"/>
              <w:rPr>
                <w:rFonts w:ascii="Cambria" w:hAnsi="Cambria"/>
                <w:b/>
                <w:bCs/>
                <w:color w:val="0D0D0D" w:themeColor="text1" w:themeTint="F2"/>
                <w:sz w:val="20"/>
                <w:szCs w:val="20"/>
              </w:rPr>
            </w:pPr>
            <w:r w:rsidRPr="00864E86">
              <w:rPr>
                <w:rFonts w:ascii="Cambria" w:hAnsi="Cambria"/>
                <w:b/>
                <w:bCs/>
                <w:color w:val="0D0D0D" w:themeColor="text1" w:themeTint="F2"/>
                <w:sz w:val="20"/>
                <w:szCs w:val="20"/>
              </w:rPr>
              <w:t>Obaveze Naručioca usluge</w:t>
            </w:r>
          </w:p>
          <w:p w14:paraId="49B95FB0" w14:textId="01A8BCBD" w:rsidR="00A85180" w:rsidRPr="000410CA" w:rsidRDefault="00A85180" w:rsidP="00E10C50">
            <w:pPr>
              <w:spacing w:before="120" w:after="60"/>
              <w:jc w:val="both"/>
              <w:rPr>
                <w:rFonts w:ascii="Cambria" w:hAnsi="Cambria"/>
                <w:color w:val="0D0D0D" w:themeColor="text1" w:themeTint="F2"/>
                <w:sz w:val="20"/>
                <w:szCs w:val="20"/>
              </w:rPr>
            </w:pPr>
            <w:r w:rsidRPr="000410CA">
              <w:rPr>
                <w:rFonts w:ascii="Cambria" w:hAnsi="Cambria"/>
                <w:color w:val="0D0D0D" w:themeColor="text1" w:themeTint="F2"/>
                <w:sz w:val="20"/>
                <w:szCs w:val="20"/>
              </w:rPr>
              <w:t>Član 6</w:t>
            </w:r>
            <w:r w:rsidR="00E10C50" w:rsidRPr="000410CA">
              <w:rPr>
                <w:rFonts w:ascii="Cambria" w:hAnsi="Cambria"/>
                <w:color w:val="0D0D0D" w:themeColor="text1" w:themeTint="F2"/>
                <w:sz w:val="20"/>
                <w:szCs w:val="20"/>
              </w:rPr>
              <w:t>.</w:t>
            </w:r>
          </w:p>
          <w:p w14:paraId="4CDB5A58" w14:textId="1CC588AA" w:rsidR="00864E86" w:rsidRPr="00A37D66" w:rsidRDefault="00A85180" w:rsidP="00864E86">
            <w:pPr>
              <w:spacing w:before="60" w:after="60"/>
              <w:jc w:val="both"/>
              <w:rPr>
                <w:rFonts w:ascii="Cambria" w:hAnsi="Cambria"/>
                <w:b/>
                <w:bCs/>
                <w:color w:val="0D0D0D" w:themeColor="text1" w:themeTint="F2"/>
                <w:sz w:val="20"/>
                <w:szCs w:val="20"/>
                <w:highlight w:val="yellow"/>
              </w:rPr>
            </w:pPr>
            <w:r w:rsidRPr="00864E86">
              <w:rPr>
                <w:rFonts w:ascii="Cambria" w:hAnsi="Cambria"/>
                <w:color w:val="0D0D0D" w:themeColor="text1" w:themeTint="F2"/>
                <w:sz w:val="20"/>
                <w:szCs w:val="20"/>
              </w:rPr>
              <w:t xml:space="preserve">Naručilac usluge se obavezuje da će pri podnošenju zahteva za </w:t>
            </w:r>
            <w:r w:rsidR="00864E86" w:rsidRPr="00864E86">
              <w:rPr>
                <w:rFonts w:ascii="Cambria" w:hAnsi="Cambria"/>
                <w:color w:val="0D0D0D" w:themeColor="text1" w:themeTint="F2"/>
                <w:sz w:val="20"/>
                <w:szCs w:val="20"/>
              </w:rPr>
              <w:t>ocenjivanje usaglašenosti</w:t>
            </w:r>
            <w:r w:rsidRPr="00864E86">
              <w:rPr>
                <w:rFonts w:ascii="Cambria" w:hAnsi="Cambria"/>
                <w:color w:val="0D0D0D" w:themeColor="text1" w:themeTint="F2"/>
                <w:sz w:val="20"/>
                <w:szCs w:val="20"/>
              </w:rPr>
              <w:t xml:space="preserve"> proizvoda dostavi autentičnu i validnu tehničku i drugu prateću dokumentaciju.</w:t>
            </w:r>
          </w:p>
          <w:p w14:paraId="3D850722" w14:textId="77777777" w:rsidR="000915C0" w:rsidRDefault="000915C0" w:rsidP="00E10C50">
            <w:pPr>
              <w:spacing w:before="120" w:after="60"/>
              <w:jc w:val="both"/>
              <w:rPr>
                <w:rFonts w:ascii="Cambria" w:hAnsi="Cambria"/>
                <w:color w:val="0D0D0D" w:themeColor="text1" w:themeTint="F2"/>
                <w:sz w:val="20"/>
                <w:szCs w:val="20"/>
              </w:rPr>
            </w:pPr>
          </w:p>
          <w:p w14:paraId="5874F764" w14:textId="0062156F" w:rsidR="00A85180" w:rsidRPr="000410CA" w:rsidRDefault="00A85180" w:rsidP="00E10C50">
            <w:pPr>
              <w:spacing w:before="120" w:after="60"/>
              <w:jc w:val="both"/>
              <w:rPr>
                <w:rFonts w:ascii="Cambria" w:hAnsi="Cambria"/>
                <w:color w:val="0D0D0D" w:themeColor="text1" w:themeTint="F2"/>
                <w:sz w:val="20"/>
                <w:szCs w:val="20"/>
              </w:rPr>
            </w:pPr>
            <w:r w:rsidRPr="000410CA">
              <w:rPr>
                <w:rFonts w:ascii="Cambria" w:hAnsi="Cambria"/>
                <w:color w:val="0D0D0D" w:themeColor="text1" w:themeTint="F2"/>
                <w:sz w:val="20"/>
                <w:szCs w:val="20"/>
              </w:rPr>
              <w:t xml:space="preserve">Član </w:t>
            </w:r>
            <w:r w:rsidR="000915C0">
              <w:rPr>
                <w:rFonts w:ascii="Cambria" w:hAnsi="Cambria"/>
                <w:color w:val="0D0D0D" w:themeColor="text1" w:themeTint="F2"/>
                <w:sz w:val="20"/>
                <w:szCs w:val="20"/>
              </w:rPr>
              <w:t>7</w:t>
            </w:r>
            <w:r w:rsidR="00E10C50" w:rsidRPr="000410CA">
              <w:rPr>
                <w:rFonts w:ascii="Cambria" w:hAnsi="Cambria"/>
                <w:color w:val="0D0D0D" w:themeColor="text1" w:themeTint="F2"/>
                <w:sz w:val="20"/>
                <w:szCs w:val="20"/>
              </w:rPr>
              <w:t>.</w:t>
            </w:r>
          </w:p>
          <w:p w14:paraId="1A43A205" w14:textId="5DD4EC55" w:rsidR="00A85180" w:rsidRPr="00864E86" w:rsidRDefault="00A85180" w:rsidP="00E10C50">
            <w:pPr>
              <w:spacing w:before="60" w:after="60"/>
              <w:jc w:val="both"/>
              <w:rPr>
                <w:rFonts w:ascii="Cambria" w:hAnsi="Cambria"/>
                <w:color w:val="0D0D0D" w:themeColor="text1" w:themeTint="F2"/>
                <w:sz w:val="20"/>
                <w:szCs w:val="20"/>
              </w:rPr>
            </w:pPr>
            <w:r w:rsidRPr="00864E86">
              <w:rPr>
                <w:rFonts w:ascii="Cambria" w:hAnsi="Cambria"/>
                <w:color w:val="0D0D0D" w:themeColor="text1" w:themeTint="F2"/>
                <w:sz w:val="20"/>
                <w:szCs w:val="20"/>
              </w:rPr>
              <w:t xml:space="preserve">Naručilac usluge se obavezuje da zahtev za </w:t>
            </w:r>
            <w:r w:rsidR="00864E86" w:rsidRPr="00864E86">
              <w:rPr>
                <w:rFonts w:ascii="Cambria" w:hAnsi="Cambria"/>
                <w:color w:val="0D0D0D" w:themeColor="text1" w:themeTint="F2"/>
                <w:sz w:val="20"/>
                <w:szCs w:val="20"/>
              </w:rPr>
              <w:t>ocenjivanje usaglašenosti</w:t>
            </w:r>
            <w:r w:rsidRPr="00864E86">
              <w:rPr>
                <w:rFonts w:ascii="Cambria" w:hAnsi="Cambria"/>
                <w:color w:val="0D0D0D" w:themeColor="text1" w:themeTint="F2"/>
                <w:sz w:val="20"/>
                <w:szCs w:val="20"/>
              </w:rPr>
              <w:t xml:space="preserve"> proizvoda neće podneti drugom Imenovanom telu za ocenjivanje usaglašenosti na teritoriji Republike Srbije. Ukoliko postupi drugačije, a Izvršilac usluge bude imao saznanja o tome, Izvršilac usluge će pisanim putem obavestiti nadležno ministarstvo.</w:t>
            </w:r>
          </w:p>
          <w:p w14:paraId="495C3522" w14:textId="2DD8ABF8" w:rsidR="000915C0" w:rsidRPr="000915C0" w:rsidRDefault="000915C0" w:rsidP="000915C0">
            <w:pPr>
              <w:spacing w:before="120" w:after="60"/>
              <w:jc w:val="both"/>
              <w:rPr>
                <w:rFonts w:ascii="Cambria" w:hAnsi="Cambria"/>
                <w:color w:val="0D0D0D" w:themeColor="text1" w:themeTint="F2"/>
                <w:sz w:val="20"/>
                <w:szCs w:val="20"/>
              </w:rPr>
            </w:pPr>
            <w:r w:rsidRPr="000915C0">
              <w:rPr>
                <w:rFonts w:ascii="Cambria" w:hAnsi="Cambria"/>
                <w:color w:val="0D0D0D" w:themeColor="text1" w:themeTint="F2"/>
                <w:sz w:val="20"/>
                <w:szCs w:val="20"/>
              </w:rPr>
              <w:t xml:space="preserve">Član </w:t>
            </w:r>
            <w:r>
              <w:rPr>
                <w:rFonts w:ascii="Cambria" w:hAnsi="Cambria"/>
                <w:color w:val="0D0D0D" w:themeColor="text1" w:themeTint="F2"/>
                <w:sz w:val="20"/>
                <w:szCs w:val="20"/>
              </w:rPr>
              <w:t>8</w:t>
            </w:r>
            <w:r w:rsidRPr="000915C0">
              <w:rPr>
                <w:rFonts w:ascii="Cambria" w:hAnsi="Cambria"/>
                <w:color w:val="0D0D0D" w:themeColor="text1" w:themeTint="F2"/>
                <w:sz w:val="20"/>
                <w:szCs w:val="20"/>
              </w:rPr>
              <w:t>.</w:t>
            </w:r>
          </w:p>
          <w:p w14:paraId="5B3C76D8" w14:textId="1BF681A4" w:rsidR="00A85180" w:rsidRPr="00CD2485" w:rsidRDefault="00A85180" w:rsidP="00E10C50">
            <w:pPr>
              <w:spacing w:before="60" w:after="60"/>
              <w:jc w:val="both"/>
              <w:rPr>
                <w:rFonts w:ascii="Cambria" w:hAnsi="Cambria"/>
                <w:color w:val="0D0D0D" w:themeColor="text1" w:themeTint="F2"/>
                <w:sz w:val="20"/>
                <w:szCs w:val="20"/>
              </w:rPr>
            </w:pPr>
            <w:r w:rsidRPr="00CD2485">
              <w:rPr>
                <w:rFonts w:ascii="Cambria" w:hAnsi="Cambria"/>
                <w:color w:val="0D0D0D" w:themeColor="text1" w:themeTint="F2"/>
                <w:sz w:val="20"/>
                <w:szCs w:val="20"/>
              </w:rPr>
              <w:t xml:space="preserve">Naručilac usluge se obavezuje da će uvek ispunjavati zahteve za </w:t>
            </w:r>
            <w:r w:rsidR="00864E86" w:rsidRPr="00CD2485">
              <w:rPr>
                <w:rFonts w:ascii="Cambria" w:hAnsi="Cambria"/>
                <w:color w:val="0D0D0D" w:themeColor="text1" w:themeTint="F2"/>
                <w:sz w:val="20"/>
                <w:szCs w:val="20"/>
              </w:rPr>
              <w:t>ocenjivanje usaglašenosti</w:t>
            </w:r>
            <w:r w:rsidRPr="00CD2485">
              <w:rPr>
                <w:rFonts w:ascii="Cambria" w:hAnsi="Cambria"/>
                <w:color w:val="0D0D0D" w:themeColor="text1" w:themeTint="F2"/>
                <w:sz w:val="20"/>
                <w:szCs w:val="20"/>
              </w:rPr>
              <w:t xml:space="preserve">; da će primeniti odgovarajuće izmene kada ga o njima obavesti sertifikaciono telo; da će </w:t>
            </w:r>
            <w:r w:rsidR="00CD2485" w:rsidRPr="00CD2485">
              <w:rPr>
                <w:rFonts w:ascii="Cambria" w:hAnsi="Cambria"/>
                <w:color w:val="0D0D0D" w:themeColor="text1" w:themeTint="F2"/>
                <w:sz w:val="20"/>
                <w:szCs w:val="20"/>
              </w:rPr>
              <w:t>ocenjeni</w:t>
            </w:r>
            <w:r w:rsidRPr="00CD2485">
              <w:rPr>
                <w:rFonts w:ascii="Cambria" w:hAnsi="Cambria"/>
                <w:color w:val="0D0D0D" w:themeColor="text1" w:themeTint="F2"/>
                <w:sz w:val="20"/>
                <w:szCs w:val="20"/>
              </w:rPr>
              <w:t xml:space="preserve"> proizvod da nastavlja da ispunjava zahteve za proizvod; da će obezbedi</w:t>
            </w:r>
            <w:r w:rsidR="00864E86" w:rsidRPr="00CD2485">
              <w:rPr>
                <w:rFonts w:ascii="Cambria" w:hAnsi="Cambria"/>
                <w:color w:val="0D0D0D" w:themeColor="text1" w:themeTint="F2"/>
                <w:sz w:val="20"/>
                <w:szCs w:val="20"/>
              </w:rPr>
              <w:t>ti</w:t>
            </w:r>
            <w:r w:rsidRPr="00CD2485">
              <w:rPr>
                <w:rFonts w:ascii="Cambria" w:hAnsi="Cambria"/>
                <w:color w:val="0D0D0D" w:themeColor="text1" w:themeTint="F2"/>
                <w:sz w:val="20"/>
                <w:szCs w:val="20"/>
              </w:rPr>
              <w:t xml:space="preserve"> neophodne aranžmane za sprovođenje vrednovanja, istraživanje prigovora i učešće posmatrača kada je to primenljivo; da će davati izjave o</w:t>
            </w:r>
            <w:r w:rsidR="00CD2485" w:rsidRPr="00CD2485">
              <w:rPr>
                <w:rFonts w:ascii="Cambria" w:hAnsi="Cambria"/>
                <w:color w:val="0D0D0D" w:themeColor="text1" w:themeTint="F2"/>
                <w:sz w:val="20"/>
                <w:szCs w:val="20"/>
              </w:rPr>
              <w:t xml:space="preserve"> ocenjivanju usaglašenosti</w:t>
            </w:r>
            <w:r w:rsidRPr="00CD2485">
              <w:rPr>
                <w:rFonts w:ascii="Cambria" w:hAnsi="Cambria"/>
                <w:color w:val="0D0D0D" w:themeColor="text1" w:themeTint="F2"/>
                <w:sz w:val="20"/>
                <w:szCs w:val="20"/>
              </w:rPr>
              <w:t xml:space="preserve"> koje su konzistentne sa predmetom i područjem </w:t>
            </w:r>
            <w:r w:rsidR="00CD2485" w:rsidRPr="00CD2485">
              <w:rPr>
                <w:rFonts w:ascii="Cambria" w:hAnsi="Cambria"/>
                <w:color w:val="0D0D0D" w:themeColor="text1" w:themeTint="F2"/>
                <w:sz w:val="20"/>
                <w:szCs w:val="20"/>
              </w:rPr>
              <w:t>ocenjivanja</w:t>
            </w:r>
            <w:r w:rsidRPr="00CD2485">
              <w:rPr>
                <w:rFonts w:ascii="Cambria" w:hAnsi="Cambria"/>
                <w:color w:val="0D0D0D" w:themeColor="text1" w:themeTint="F2"/>
                <w:sz w:val="20"/>
                <w:szCs w:val="20"/>
              </w:rPr>
              <w:t xml:space="preserve">; da neće koristi </w:t>
            </w:r>
            <w:r w:rsidR="00CD2485" w:rsidRPr="00CD2485">
              <w:rPr>
                <w:rFonts w:ascii="Cambria" w:hAnsi="Cambria"/>
                <w:color w:val="0D0D0D" w:themeColor="text1" w:themeTint="F2"/>
                <w:sz w:val="20"/>
                <w:szCs w:val="20"/>
              </w:rPr>
              <w:t>ocenjivanje usaglašenosti</w:t>
            </w:r>
            <w:r w:rsidRPr="00CD2485">
              <w:rPr>
                <w:rFonts w:ascii="Cambria" w:hAnsi="Cambria"/>
                <w:color w:val="0D0D0D" w:themeColor="text1" w:themeTint="F2"/>
                <w:sz w:val="20"/>
                <w:szCs w:val="20"/>
              </w:rPr>
              <w:t xml:space="preserve"> svog proizvoda na način da izazove nepoverenje prema sertifikacionom telu.</w:t>
            </w:r>
          </w:p>
          <w:p w14:paraId="39A83554" w14:textId="38E816AD" w:rsidR="00A85180" w:rsidRPr="00A64694" w:rsidRDefault="00A85180" w:rsidP="00E10C50">
            <w:pPr>
              <w:spacing w:before="120" w:after="60"/>
              <w:jc w:val="both"/>
              <w:rPr>
                <w:rFonts w:ascii="Cambria" w:hAnsi="Cambria"/>
                <w:color w:val="0D0D0D" w:themeColor="text1" w:themeTint="F2"/>
                <w:sz w:val="20"/>
                <w:szCs w:val="20"/>
              </w:rPr>
            </w:pPr>
            <w:r w:rsidRPr="00A64694">
              <w:rPr>
                <w:rFonts w:ascii="Cambria" w:hAnsi="Cambria"/>
                <w:color w:val="0D0D0D" w:themeColor="text1" w:themeTint="F2"/>
                <w:sz w:val="20"/>
                <w:szCs w:val="20"/>
              </w:rPr>
              <w:t xml:space="preserve">Član </w:t>
            </w:r>
            <w:r w:rsidR="00F55FC7">
              <w:rPr>
                <w:rFonts w:ascii="Cambria" w:hAnsi="Cambria"/>
                <w:color w:val="0D0D0D" w:themeColor="text1" w:themeTint="F2"/>
                <w:sz w:val="20"/>
                <w:szCs w:val="20"/>
              </w:rPr>
              <w:t>9</w:t>
            </w:r>
            <w:r w:rsidR="00E10C50" w:rsidRPr="00A64694">
              <w:rPr>
                <w:rFonts w:ascii="Cambria" w:hAnsi="Cambria"/>
                <w:color w:val="0D0D0D" w:themeColor="text1" w:themeTint="F2"/>
                <w:sz w:val="20"/>
                <w:szCs w:val="20"/>
              </w:rPr>
              <w:t>.</w:t>
            </w:r>
          </w:p>
          <w:p w14:paraId="346A1717" w14:textId="48D0A095" w:rsidR="00A85180" w:rsidRPr="00A64694" w:rsidRDefault="00A85180" w:rsidP="00E10C50">
            <w:pPr>
              <w:spacing w:before="60" w:after="60"/>
              <w:jc w:val="both"/>
              <w:rPr>
                <w:rFonts w:ascii="Cambria" w:hAnsi="Cambria"/>
                <w:color w:val="0D0D0D" w:themeColor="text1" w:themeTint="F2"/>
                <w:sz w:val="20"/>
                <w:szCs w:val="20"/>
              </w:rPr>
            </w:pPr>
            <w:r w:rsidRPr="00A64694">
              <w:rPr>
                <w:rFonts w:ascii="Cambria" w:hAnsi="Cambria"/>
                <w:color w:val="0D0D0D" w:themeColor="text1" w:themeTint="F2"/>
                <w:sz w:val="20"/>
                <w:szCs w:val="20"/>
              </w:rPr>
              <w:t xml:space="preserve">Nakon dobijanja Potvrde o usaglašenosti, Naručilac usluge je u obavezi da istu koristi u skladu sa Uputstvom za korišćenje Potvrde o usaglašenosti, koje će mu Izvršilac usluge izdati uz Potvrdu o usaglašenosti. Svako korišćenje Potvrde </w:t>
            </w:r>
            <w:r w:rsidR="00A64694" w:rsidRPr="00A64694">
              <w:rPr>
                <w:rFonts w:ascii="Cambria" w:hAnsi="Cambria"/>
                <w:color w:val="0D0D0D" w:themeColor="text1" w:themeTint="F2"/>
                <w:sz w:val="20"/>
                <w:szCs w:val="20"/>
              </w:rPr>
              <w:t xml:space="preserve">o </w:t>
            </w:r>
            <w:r w:rsidRPr="00A64694">
              <w:rPr>
                <w:rFonts w:ascii="Cambria" w:hAnsi="Cambria"/>
                <w:color w:val="0D0D0D" w:themeColor="text1" w:themeTint="F2"/>
                <w:sz w:val="20"/>
                <w:szCs w:val="20"/>
              </w:rPr>
              <w:t>usaglašenosti suprotno navedenom uputstvu, predstavlja zloupotrebu i osnov je za oduzimanje izdate Potvrde o usaglašenosti.</w:t>
            </w:r>
          </w:p>
          <w:p w14:paraId="5FE8E1BE" w14:textId="294F2EAA" w:rsidR="00A85180" w:rsidRPr="00F55FC7" w:rsidRDefault="00A85180" w:rsidP="00E10C50">
            <w:pPr>
              <w:spacing w:before="120" w:after="60"/>
              <w:jc w:val="both"/>
              <w:rPr>
                <w:rFonts w:ascii="Cambria" w:hAnsi="Cambria"/>
                <w:color w:val="0D0D0D" w:themeColor="text1" w:themeTint="F2"/>
                <w:sz w:val="20"/>
                <w:szCs w:val="20"/>
              </w:rPr>
            </w:pPr>
            <w:r w:rsidRPr="00F55FC7">
              <w:rPr>
                <w:rFonts w:ascii="Cambria" w:hAnsi="Cambria"/>
                <w:color w:val="0D0D0D" w:themeColor="text1" w:themeTint="F2"/>
                <w:sz w:val="20"/>
                <w:szCs w:val="20"/>
              </w:rPr>
              <w:t>Član 1</w:t>
            </w:r>
            <w:r w:rsidR="00F55FC7" w:rsidRPr="00F55FC7">
              <w:rPr>
                <w:rFonts w:ascii="Cambria" w:hAnsi="Cambria"/>
                <w:color w:val="0D0D0D" w:themeColor="text1" w:themeTint="F2"/>
                <w:sz w:val="20"/>
                <w:szCs w:val="20"/>
              </w:rPr>
              <w:t>0</w:t>
            </w:r>
            <w:r w:rsidR="00E10C50" w:rsidRPr="00F55FC7">
              <w:rPr>
                <w:rFonts w:ascii="Cambria" w:hAnsi="Cambria"/>
                <w:color w:val="0D0D0D" w:themeColor="text1" w:themeTint="F2"/>
                <w:sz w:val="20"/>
                <w:szCs w:val="20"/>
              </w:rPr>
              <w:t>.</w:t>
            </w:r>
          </w:p>
          <w:p w14:paraId="04292A04" w14:textId="398B867C" w:rsidR="00A85180" w:rsidRPr="00F55FC7" w:rsidRDefault="00A85180" w:rsidP="00E10C50">
            <w:pPr>
              <w:spacing w:before="60" w:after="60"/>
              <w:jc w:val="both"/>
              <w:rPr>
                <w:rFonts w:ascii="Cambria" w:hAnsi="Cambria"/>
                <w:color w:val="0D0D0D" w:themeColor="text1" w:themeTint="F2"/>
                <w:sz w:val="20"/>
                <w:szCs w:val="20"/>
              </w:rPr>
            </w:pPr>
            <w:r w:rsidRPr="00F55FC7">
              <w:rPr>
                <w:rFonts w:ascii="Cambria" w:hAnsi="Cambria"/>
                <w:color w:val="0D0D0D" w:themeColor="text1" w:themeTint="F2"/>
                <w:sz w:val="20"/>
                <w:szCs w:val="20"/>
              </w:rPr>
              <w:t xml:space="preserve">Naručilac usluge se obavezuje da će posle suspenzije, povlačenja ili isteka </w:t>
            </w:r>
            <w:r w:rsidR="00F55FC7" w:rsidRPr="00F55FC7">
              <w:rPr>
                <w:rFonts w:ascii="Cambria" w:hAnsi="Cambria"/>
                <w:color w:val="0D0D0D" w:themeColor="text1" w:themeTint="F2"/>
                <w:sz w:val="20"/>
                <w:szCs w:val="20"/>
              </w:rPr>
              <w:t>usaglašenosti</w:t>
            </w:r>
            <w:r w:rsidRPr="00F55FC7">
              <w:rPr>
                <w:rFonts w:ascii="Cambria" w:hAnsi="Cambria"/>
                <w:color w:val="0D0D0D" w:themeColor="text1" w:themeTint="F2"/>
                <w:sz w:val="20"/>
                <w:szCs w:val="20"/>
              </w:rPr>
              <w:t xml:space="preserve"> prestati da koristi sav svoj reklamni materijal koji sadrži pozivanje na nju; da će preduzeti mere koje od njega traži sertifikaciono telo; da će, ako daje kopije dokumenata </w:t>
            </w:r>
            <w:r w:rsidR="00F55FC7" w:rsidRPr="00F55FC7">
              <w:rPr>
                <w:rFonts w:ascii="Cambria" w:hAnsi="Cambria"/>
                <w:color w:val="0D0D0D" w:themeColor="text1" w:themeTint="F2"/>
                <w:sz w:val="20"/>
                <w:szCs w:val="20"/>
              </w:rPr>
              <w:t>ocenjivanja usaglašenosti</w:t>
            </w:r>
            <w:r w:rsidRPr="00F55FC7">
              <w:rPr>
                <w:rFonts w:ascii="Cambria" w:hAnsi="Cambria"/>
                <w:color w:val="0D0D0D" w:themeColor="text1" w:themeTint="F2"/>
                <w:sz w:val="20"/>
                <w:szCs w:val="20"/>
              </w:rPr>
              <w:t xml:space="preserve"> drugima, ta dokumenta biti u celosti reprodukovana; da će pri pozivanju na </w:t>
            </w:r>
            <w:r w:rsidR="00F55FC7" w:rsidRPr="00F55FC7">
              <w:rPr>
                <w:rFonts w:ascii="Cambria" w:hAnsi="Cambria"/>
                <w:color w:val="0D0D0D" w:themeColor="text1" w:themeTint="F2"/>
                <w:sz w:val="20"/>
                <w:szCs w:val="20"/>
              </w:rPr>
              <w:t>usaglašenost</w:t>
            </w:r>
            <w:r w:rsidRPr="00F55FC7">
              <w:rPr>
                <w:rFonts w:ascii="Cambria" w:hAnsi="Cambria"/>
                <w:color w:val="0D0D0D" w:themeColor="text1" w:themeTint="F2"/>
                <w:sz w:val="20"/>
                <w:szCs w:val="20"/>
              </w:rPr>
              <w:t xml:space="preserve"> svog proizvoda u komunikacionim medijima to činiti u skladu sa zahtevima sertifikacionog tela; da će vršiti usklađivanje sa svim zahtevima koji su propisani u dokumentaciji sertifikacionog tela a odnose se na korišćenje </w:t>
            </w:r>
            <w:r w:rsidR="00F55FC7" w:rsidRPr="00F55FC7">
              <w:rPr>
                <w:rFonts w:ascii="Cambria" w:hAnsi="Cambria"/>
                <w:color w:val="0D0D0D" w:themeColor="text1" w:themeTint="F2"/>
                <w:sz w:val="20"/>
                <w:szCs w:val="20"/>
              </w:rPr>
              <w:t xml:space="preserve">Potvrde o </w:t>
            </w:r>
            <w:r w:rsidRPr="00F55FC7">
              <w:rPr>
                <w:rFonts w:ascii="Cambria" w:hAnsi="Cambria"/>
                <w:color w:val="0D0D0D" w:themeColor="text1" w:themeTint="F2"/>
                <w:sz w:val="20"/>
                <w:szCs w:val="20"/>
              </w:rPr>
              <w:t>usaglašenosti i na informacije u vezi sa proizvodom; da će čuvati zapise o svim prigovorima koji su poznati i da će isti biti dostupni sertifikacionom telu kada ono to zahteva; da će preduzimati odgovarajuće mere u vezi sa ovakvim prigovorima i iste dokumentovati; da će bez odlaganja obavesti sertifikaciono telo o izmenama koje mogu negativno uticati na njegovu sposobnost da bude usaglašen sa zahtevima.</w:t>
            </w:r>
          </w:p>
          <w:p w14:paraId="3A3D95D3" w14:textId="5BAEA4D8" w:rsidR="00A85180" w:rsidRPr="006A4F1E" w:rsidRDefault="00A85180" w:rsidP="00E10C50">
            <w:pPr>
              <w:spacing w:before="120" w:after="60"/>
              <w:jc w:val="both"/>
              <w:rPr>
                <w:rFonts w:ascii="Cambria" w:hAnsi="Cambria"/>
                <w:color w:val="0D0D0D" w:themeColor="text1" w:themeTint="F2"/>
                <w:sz w:val="20"/>
                <w:szCs w:val="20"/>
              </w:rPr>
            </w:pPr>
            <w:r w:rsidRPr="006A4F1E">
              <w:rPr>
                <w:rFonts w:ascii="Cambria" w:hAnsi="Cambria"/>
                <w:color w:val="0D0D0D" w:themeColor="text1" w:themeTint="F2"/>
                <w:sz w:val="20"/>
                <w:szCs w:val="20"/>
              </w:rPr>
              <w:t>Član 1</w:t>
            </w:r>
            <w:r w:rsidR="00F55FC7">
              <w:rPr>
                <w:rFonts w:ascii="Cambria" w:hAnsi="Cambria"/>
                <w:color w:val="0D0D0D" w:themeColor="text1" w:themeTint="F2"/>
                <w:sz w:val="20"/>
                <w:szCs w:val="20"/>
              </w:rPr>
              <w:t>1</w:t>
            </w:r>
            <w:r w:rsidR="00E10C50" w:rsidRPr="006A4F1E">
              <w:rPr>
                <w:rFonts w:ascii="Cambria" w:hAnsi="Cambria"/>
                <w:color w:val="0D0D0D" w:themeColor="text1" w:themeTint="F2"/>
                <w:sz w:val="20"/>
                <w:szCs w:val="20"/>
              </w:rPr>
              <w:t>.</w:t>
            </w:r>
          </w:p>
          <w:p w14:paraId="67A9863C" w14:textId="4DAE7DA5" w:rsidR="00A85180" w:rsidRPr="006A4F1E" w:rsidRDefault="00A85180" w:rsidP="00E10C50">
            <w:pPr>
              <w:spacing w:before="60" w:after="60"/>
              <w:jc w:val="both"/>
              <w:rPr>
                <w:rFonts w:ascii="Cambria" w:hAnsi="Cambria"/>
                <w:color w:val="0D0D0D" w:themeColor="text1" w:themeTint="F2"/>
                <w:sz w:val="20"/>
                <w:szCs w:val="20"/>
              </w:rPr>
            </w:pPr>
            <w:r w:rsidRPr="006A4F1E">
              <w:rPr>
                <w:rFonts w:ascii="Cambria" w:hAnsi="Cambria"/>
                <w:color w:val="0D0D0D" w:themeColor="text1" w:themeTint="F2"/>
                <w:sz w:val="20"/>
                <w:szCs w:val="20"/>
              </w:rPr>
              <w:t>Naručilac usluge je u obavezi da, ukoliko povuče zahtev, odnosno odustane od započet</w:t>
            </w:r>
            <w:r w:rsidR="006A4F1E" w:rsidRPr="006A4F1E">
              <w:rPr>
                <w:rFonts w:ascii="Cambria" w:hAnsi="Cambria"/>
                <w:color w:val="0D0D0D" w:themeColor="text1" w:themeTint="F2"/>
                <w:sz w:val="20"/>
                <w:szCs w:val="20"/>
              </w:rPr>
              <w:t>og usaglašavanja</w:t>
            </w:r>
            <w:r w:rsidRPr="006A4F1E">
              <w:rPr>
                <w:rFonts w:ascii="Cambria" w:hAnsi="Cambria"/>
                <w:color w:val="0D0D0D" w:themeColor="text1" w:themeTint="F2"/>
                <w:sz w:val="20"/>
                <w:szCs w:val="20"/>
              </w:rPr>
              <w:t xml:space="preserve"> proizvoda, o istom pismenim putem obavesti Izvršioca usluge. Naručilac usluge je u obavezi da sve troškove koji su nastali do povlačenja zahteva plati Izvršiocu usluge.</w:t>
            </w:r>
          </w:p>
          <w:p w14:paraId="6D8F89AE" w14:textId="69484779" w:rsidR="00A85180" w:rsidRPr="006A4F1E" w:rsidRDefault="00A85180" w:rsidP="00E10C50">
            <w:pPr>
              <w:spacing w:before="60" w:after="60"/>
              <w:jc w:val="both"/>
              <w:rPr>
                <w:rFonts w:ascii="Cambria" w:hAnsi="Cambria"/>
                <w:color w:val="0D0D0D" w:themeColor="text1" w:themeTint="F2"/>
                <w:sz w:val="20"/>
                <w:szCs w:val="20"/>
              </w:rPr>
            </w:pPr>
            <w:r w:rsidRPr="006A4F1E">
              <w:rPr>
                <w:rFonts w:ascii="Cambria" w:hAnsi="Cambria"/>
                <w:color w:val="0D0D0D" w:themeColor="text1" w:themeTint="F2"/>
                <w:sz w:val="20"/>
                <w:szCs w:val="20"/>
              </w:rPr>
              <w:t xml:space="preserve">U slučaju povlačenja zahteva za </w:t>
            </w:r>
            <w:r w:rsidR="006A4F1E" w:rsidRPr="006A4F1E">
              <w:rPr>
                <w:rFonts w:ascii="Cambria" w:hAnsi="Cambria"/>
                <w:color w:val="0D0D0D" w:themeColor="text1" w:themeTint="F2"/>
                <w:sz w:val="20"/>
                <w:szCs w:val="20"/>
              </w:rPr>
              <w:t>ocenjivanje usaglašenosti</w:t>
            </w:r>
            <w:r w:rsidRPr="006A4F1E">
              <w:rPr>
                <w:rFonts w:ascii="Cambria" w:hAnsi="Cambria"/>
                <w:color w:val="0D0D0D" w:themeColor="text1" w:themeTint="F2"/>
                <w:sz w:val="20"/>
                <w:szCs w:val="20"/>
              </w:rPr>
              <w:t>, Izvršilac usluge je u obavezi da Naručiocu usluge vrati podnetu dokumentaciju.</w:t>
            </w:r>
          </w:p>
          <w:p w14:paraId="36A1C8E7" w14:textId="785F007D" w:rsidR="00A85180" w:rsidRPr="000410CA" w:rsidRDefault="00A85180" w:rsidP="00E10C50">
            <w:pPr>
              <w:spacing w:before="120" w:after="60"/>
              <w:jc w:val="both"/>
              <w:rPr>
                <w:rFonts w:ascii="Cambria" w:hAnsi="Cambria"/>
                <w:color w:val="0D0D0D" w:themeColor="text1" w:themeTint="F2"/>
                <w:sz w:val="20"/>
                <w:szCs w:val="20"/>
              </w:rPr>
            </w:pPr>
            <w:r w:rsidRPr="000410CA">
              <w:rPr>
                <w:rFonts w:ascii="Cambria" w:hAnsi="Cambria"/>
                <w:color w:val="0D0D0D" w:themeColor="text1" w:themeTint="F2"/>
                <w:sz w:val="20"/>
                <w:szCs w:val="20"/>
              </w:rPr>
              <w:t>Član 1</w:t>
            </w:r>
            <w:r w:rsidR="00F55FC7">
              <w:rPr>
                <w:rFonts w:ascii="Cambria" w:hAnsi="Cambria"/>
                <w:color w:val="0D0D0D" w:themeColor="text1" w:themeTint="F2"/>
                <w:sz w:val="20"/>
                <w:szCs w:val="20"/>
              </w:rPr>
              <w:t>2</w:t>
            </w:r>
            <w:r w:rsidR="00E10C50" w:rsidRPr="000410CA">
              <w:rPr>
                <w:rFonts w:ascii="Cambria" w:hAnsi="Cambria"/>
                <w:color w:val="0D0D0D" w:themeColor="text1" w:themeTint="F2"/>
                <w:sz w:val="20"/>
                <w:szCs w:val="20"/>
              </w:rPr>
              <w:t>.</w:t>
            </w:r>
          </w:p>
          <w:p w14:paraId="05126BDA" w14:textId="1F6D18DC" w:rsidR="00A85180" w:rsidRPr="00B5532C" w:rsidRDefault="00A85180" w:rsidP="00E10C50">
            <w:pPr>
              <w:spacing w:before="60" w:after="60"/>
              <w:jc w:val="both"/>
              <w:rPr>
                <w:rFonts w:ascii="Cambria" w:hAnsi="Cambria"/>
                <w:color w:val="0D0D0D" w:themeColor="text1" w:themeTint="F2"/>
                <w:sz w:val="20"/>
                <w:szCs w:val="20"/>
              </w:rPr>
            </w:pPr>
            <w:r w:rsidRPr="00B5532C">
              <w:rPr>
                <w:rFonts w:ascii="Cambria" w:hAnsi="Cambria"/>
                <w:color w:val="0D0D0D" w:themeColor="text1" w:themeTint="F2"/>
                <w:sz w:val="20"/>
                <w:szCs w:val="20"/>
              </w:rPr>
              <w:t>Naručilac usluge se obavezuje da dobijenu Potvrdu o usaglašenosti neće koristiti nakon isteka roka važenja.</w:t>
            </w:r>
          </w:p>
          <w:p w14:paraId="0EB72FE5" w14:textId="4FAB574D" w:rsidR="00A85180" w:rsidRPr="000915C0" w:rsidRDefault="00A85180" w:rsidP="00E10C50">
            <w:pPr>
              <w:spacing w:before="120" w:after="60"/>
              <w:jc w:val="both"/>
              <w:rPr>
                <w:rFonts w:ascii="Cambria" w:hAnsi="Cambria"/>
                <w:color w:val="0D0D0D" w:themeColor="text1" w:themeTint="F2"/>
                <w:sz w:val="20"/>
                <w:szCs w:val="20"/>
              </w:rPr>
            </w:pPr>
            <w:r w:rsidRPr="000915C0">
              <w:rPr>
                <w:rFonts w:ascii="Cambria" w:hAnsi="Cambria"/>
                <w:color w:val="0D0D0D" w:themeColor="text1" w:themeTint="F2"/>
                <w:sz w:val="20"/>
                <w:szCs w:val="20"/>
              </w:rPr>
              <w:t>Član 1</w:t>
            </w:r>
            <w:r w:rsidR="00F55FC7">
              <w:rPr>
                <w:rFonts w:ascii="Cambria" w:hAnsi="Cambria"/>
                <w:color w:val="0D0D0D" w:themeColor="text1" w:themeTint="F2"/>
                <w:sz w:val="20"/>
                <w:szCs w:val="20"/>
              </w:rPr>
              <w:t>3</w:t>
            </w:r>
            <w:r w:rsidR="00E10C50" w:rsidRPr="000915C0">
              <w:rPr>
                <w:rFonts w:ascii="Cambria" w:hAnsi="Cambria"/>
                <w:color w:val="0D0D0D" w:themeColor="text1" w:themeTint="F2"/>
                <w:sz w:val="20"/>
                <w:szCs w:val="20"/>
              </w:rPr>
              <w:t>.</w:t>
            </w:r>
          </w:p>
          <w:p w14:paraId="24B52CF3" w14:textId="1C41E50F" w:rsidR="00A85180" w:rsidRPr="000915C0" w:rsidRDefault="00A85180" w:rsidP="00E10C50">
            <w:pPr>
              <w:spacing w:before="60" w:after="60"/>
              <w:jc w:val="both"/>
              <w:rPr>
                <w:rFonts w:ascii="Cambria" w:hAnsi="Cambria"/>
                <w:color w:val="0D0D0D" w:themeColor="text1" w:themeTint="F2"/>
                <w:sz w:val="20"/>
                <w:szCs w:val="20"/>
              </w:rPr>
            </w:pPr>
            <w:r w:rsidRPr="000915C0">
              <w:rPr>
                <w:rFonts w:ascii="Cambria" w:hAnsi="Cambria"/>
                <w:color w:val="0D0D0D" w:themeColor="text1" w:themeTint="F2"/>
                <w:sz w:val="20"/>
                <w:szCs w:val="20"/>
              </w:rPr>
              <w:t xml:space="preserve">Naručilac usluge je dužan da </w:t>
            </w:r>
            <w:r w:rsidR="000915C0" w:rsidRPr="000915C0">
              <w:rPr>
                <w:rFonts w:ascii="Cambria" w:hAnsi="Cambria"/>
                <w:color w:val="0D0D0D" w:themeColor="text1" w:themeTint="F2"/>
                <w:sz w:val="20"/>
                <w:szCs w:val="20"/>
              </w:rPr>
              <w:t>čuva sve zapise o žalbama koje dobije vezano za zahteve za usaglašenost i da ih na zahtev dostavi Izvršiocu usluge.</w:t>
            </w:r>
          </w:p>
          <w:p w14:paraId="558A2810" w14:textId="07D83F1A" w:rsidR="00A85180" w:rsidRPr="00490996" w:rsidRDefault="00A85180" w:rsidP="00E10C50">
            <w:pPr>
              <w:spacing w:before="120" w:after="60"/>
              <w:jc w:val="both"/>
              <w:rPr>
                <w:rFonts w:ascii="Cambria" w:hAnsi="Cambria"/>
                <w:color w:val="0D0D0D" w:themeColor="text1" w:themeTint="F2"/>
                <w:sz w:val="20"/>
                <w:szCs w:val="20"/>
              </w:rPr>
            </w:pPr>
            <w:r w:rsidRPr="00490996">
              <w:rPr>
                <w:rFonts w:ascii="Cambria" w:hAnsi="Cambria"/>
                <w:color w:val="0D0D0D" w:themeColor="text1" w:themeTint="F2"/>
                <w:sz w:val="20"/>
                <w:szCs w:val="20"/>
              </w:rPr>
              <w:t>Član 1</w:t>
            </w:r>
            <w:r w:rsidR="00F55FC7">
              <w:rPr>
                <w:rFonts w:ascii="Cambria" w:hAnsi="Cambria"/>
                <w:color w:val="0D0D0D" w:themeColor="text1" w:themeTint="F2"/>
                <w:sz w:val="20"/>
                <w:szCs w:val="20"/>
              </w:rPr>
              <w:t>4</w:t>
            </w:r>
            <w:r w:rsidR="00E10C50" w:rsidRPr="00490996">
              <w:rPr>
                <w:rFonts w:ascii="Cambria" w:hAnsi="Cambria"/>
                <w:color w:val="0D0D0D" w:themeColor="text1" w:themeTint="F2"/>
                <w:sz w:val="20"/>
                <w:szCs w:val="20"/>
              </w:rPr>
              <w:t>.</w:t>
            </w:r>
          </w:p>
          <w:p w14:paraId="759C7CDE" w14:textId="61BD9A7D" w:rsidR="00A85180" w:rsidRPr="00A37D66" w:rsidRDefault="00A85180" w:rsidP="00E10C50">
            <w:pPr>
              <w:spacing w:before="60" w:after="60"/>
              <w:jc w:val="both"/>
              <w:rPr>
                <w:rFonts w:ascii="Cambria" w:hAnsi="Cambria"/>
                <w:color w:val="0D0D0D" w:themeColor="text1" w:themeTint="F2"/>
                <w:sz w:val="20"/>
                <w:szCs w:val="20"/>
                <w:highlight w:val="yellow"/>
              </w:rPr>
            </w:pPr>
            <w:r w:rsidRPr="00490996">
              <w:rPr>
                <w:rFonts w:ascii="Cambria" w:hAnsi="Cambria"/>
                <w:color w:val="0D0D0D" w:themeColor="text1" w:themeTint="F2"/>
                <w:sz w:val="20"/>
                <w:szCs w:val="20"/>
              </w:rPr>
              <w:t xml:space="preserve">Izvršilac usluge će Rešenjem o oduzimanju oduzeti izdatu Potvrdu o usaglašenosti, privremeno ili trajno, ukoliko na bilo koji način utvrdi da proizvod za koji je izdata Potvrda o usaglašenosti više ne ispunjava uslove pod kojim je izdata. U tom slučaju Naručilac usluge je dužan da proizvode povuče iz prometa. </w:t>
            </w:r>
          </w:p>
        </w:tc>
      </w:tr>
      <w:tr w:rsidR="00A85180" w:rsidRPr="006768B7" w14:paraId="31CA08E9" w14:textId="77777777" w:rsidTr="001B5636">
        <w:trPr>
          <w:jc w:val="center"/>
        </w:trPr>
        <w:tc>
          <w:tcPr>
            <w:tcW w:w="9639" w:type="dxa"/>
            <w:gridSpan w:val="2"/>
            <w:tcBorders>
              <w:top w:val="nil"/>
              <w:left w:val="nil"/>
              <w:bottom w:val="nil"/>
              <w:right w:val="nil"/>
            </w:tcBorders>
          </w:tcPr>
          <w:p w14:paraId="6528A18A" w14:textId="10276A95" w:rsidR="00376B15" w:rsidRPr="006768B7" w:rsidRDefault="00376B15" w:rsidP="000915C0">
            <w:pPr>
              <w:spacing w:before="60" w:after="60"/>
              <w:jc w:val="both"/>
              <w:rPr>
                <w:rFonts w:ascii="Cambria" w:hAnsi="Cambria"/>
                <w:b/>
                <w:bCs/>
                <w:color w:val="0D0D0D" w:themeColor="text1" w:themeTint="F2"/>
                <w:sz w:val="20"/>
                <w:szCs w:val="20"/>
              </w:rPr>
            </w:pPr>
            <w:r w:rsidRPr="006768B7">
              <w:rPr>
                <w:rFonts w:ascii="Cambria" w:hAnsi="Cambria"/>
                <w:b/>
                <w:bCs/>
                <w:color w:val="0D0D0D" w:themeColor="text1" w:themeTint="F2"/>
                <w:sz w:val="20"/>
                <w:szCs w:val="20"/>
              </w:rPr>
              <w:lastRenderedPageBreak/>
              <w:t>Poverljivost</w:t>
            </w:r>
          </w:p>
          <w:p w14:paraId="62CA18C0" w14:textId="34847BE5" w:rsidR="00376B15" w:rsidRPr="000410CA" w:rsidRDefault="00376B15" w:rsidP="000915C0">
            <w:pPr>
              <w:spacing w:before="120" w:after="60"/>
              <w:jc w:val="both"/>
              <w:rPr>
                <w:rFonts w:ascii="Cambria" w:hAnsi="Cambria"/>
                <w:color w:val="0D0D0D" w:themeColor="text1" w:themeTint="F2"/>
                <w:sz w:val="20"/>
                <w:szCs w:val="20"/>
              </w:rPr>
            </w:pPr>
            <w:r w:rsidRPr="000410CA">
              <w:rPr>
                <w:rFonts w:ascii="Cambria" w:hAnsi="Cambria"/>
                <w:color w:val="0D0D0D" w:themeColor="text1" w:themeTint="F2"/>
                <w:sz w:val="20"/>
                <w:szCs w:val="20"/>
              </w:rPr>
              <w:t>Član 1</w:t>
            </w:r>
            <w:r w:rsidR="00F55FC7">
              <w:rPr>
                <w:rFonts w:ascii="Cambria" w:hAnsi="Cambria"/>
                <w:color w:val="0D0D0D" w:themeColor="text1" w:themeTint="F2"/>
                <w:sz w:val="20"/>
                <w:szCs w:val="20"/>
              </w:rPr>
              <w:t>5</w:t>
            </w:r>
            <w:r w:rsidR="00E10C50" w:rsidRPr="000410CA">
              <w:rPr>
                <w:rFonts w:ascii="Cambria" w:hAnsi="Cambria"/>
                <w:color w:val="0D0D0D" w:themeColor="text1" w:themeTint="F2"/>
                <w:sz w:val="20"/>
                <w:szCs w:val="20"/>
              </w:rPr>
              <w:t>.</w:t>
            </w:r>
          </w:p>
          <w:p w14:paraId="3E4D2D27" w14:textId="4F132682" w:rsidR="00A85180" w:rsidRPr="006768B7" w:rsidRDefault="00376B15" w:rsidP="000915C0">
            <w:pPr>
              <w:spacing w:before="60" w:after="60"/>
              <w:jc w:val="both"/>
              <w:rPr>
                <w:rFonts w:ascii="Cambria" w:hAnsi="Cambria"/>
                <w:color w:val="0D0D0D" w:themeColor="text1" w:themeTint="F2"/>
                <w:sz w:val="20"/>
                <w:szCs w:val="20"/>
              </w:rPr>
            </w:pPr>
            <w:r w:rsidRPr="006768B7">
              <w:rPr>
                <w:rFonts w:ascii="Cambria" w:hAnsi="Cambria"/>
                <w:color w:val="0D0D0D" w:themeColor="text1" w:themeTint="F2"/>
                <w:sz w:val="20"/>
                <w:szCs w:val="20"/>
              </w:rPr>
              <w:t>Ugovorne strane se obavezuju da sve informacije i podatke, koji su svojina i smatraju se poverljivim, predstavljaju poslovnu tajnu, i ne mogu se davati trećim licima bez saglasnosti obe ugovorne strane. Iz navedenog se izuzimaju informacije koje je Izvršilac usluge učinio javno dostupnim (registar izdatih potvrda o usaglašenosti), informacije koje je Izvršilac usluge u obavezi da pruži nadležnim organima u skladu sa pravilnicima iz člana 1, zakonskom i drugom regulativom, kao i informacije koje je Izvršilac usluge dužan da pruži ATS-u u postupku ocenjivanja.</w:t>
            </w:r>
          </w:p>
        </w:tc>
      </w:tr>
      <w:tr w:rsidR="00A85180" w:rsidRPr="006768B7" w14:paraId="0DFAD5C1" w14:textId="77777777" w:rsidTr="001B5636">
        <w:trPr>
          <w:jc w:val="center"/>
        </w:trPr>
        <w:tc>
          <w:tcPr>
            <w:tcW w:w="9639" w:type="dxa"/>
            <w:gridSpan w:val="2"/>
            <w:tcBorders>
              <w:top w:val="nil"/>
              <w:left w:val="nil"/>
              <w:bottom w:val="nil"/>
              <w:right w:val="nil"/>
            </w:tcBorders>
          </w:tcPr>
          <w:p w14:paraId="6DBED1DB" w14:textId="0CF82DAC" w:rsidR="00376B15" w:rsidRPr="006768B7" w:rsidRDefault="00376B15" w:rsidP="00003362">
            <w:pPr>
              <w:pageBreakBefore/>
              <w:spacing w:before="60" w:after="60"/>
              <w:jc w:val="both"/>
              <w:rPr>
                <w:rFonts w:ascii="Cambria" w:hAnsi="Cambria"/>
                <w:b/>
                <w:bCs/>
                <w:color w:val="0D0D0D" w:themeColor="text1" w:themeTint="F2"/>
                <w:sz w:val="20"/>
                <w:szCs w:val="20"/>
              </w:rPr>
            </w:pPr>
            <w:r w:rsidRPr="006768B7">
              <w:rPr>
                <w:rFonts w:ascii="Cambria" w:hAnsi="Cambria"/>
                <w:b/>
                <w:bCs/>
                <w:color w:val="0D0D0D" w:themeColor="text1" w:themeTint="F2"/>
                <w:sz w:val="20"/>
                <w:szCs w:val="20"/>
              </w:rPr>
              <w:lastRenderedPageBreak/>
              <w:t>Cena i način plaćanja</w:t>
            </w:r>
          </w:p>
          <w:p w14:paraId="4C85B339" w14:textId="486998FB" w:rsidR="00376B15" w:rsidRPr="000410CA" w:rsidRDefault="00376B15" w:rsidP="003256F0">
            <w:pPr>
              <w:spacing w:before="120" w:after="60"/>
              <w:jc w:val="both"/>
              <w:rPr>
                <w:rFonts w:ascii="Cambria" w:hAnsi="Cambria"/>
                <w:color w:val="0D0D0D" w:themeColor="text1" w:themeTint="F2"/>
                <w:sz w:val="20"/>
                <w:szCs w:val="20"/>
              </w:rPr>
            </w:pPr>
            <w:r w:rsidRPr="000410CA">
              <w:rPr>
                <w:rFonts w:ascii="Cambria" w:hAnsi="Cambria"/>
                <w:color w:val="0D0D0D" w:themeColor="text1" w:themeTint="F2"/>
                <w:sz w:val="20"/>
                <w:szCs w:val="20"/>
              </w:rPr>
              <w:t>Član 1</w:t>
            </w:r>
            <w:r w:rsidR="00F55FC7">
              <w:rPr>
                <w:rFonts w:ascii="Cambria" w:hAnsi="Cambria"/>
                <w:color w:val="0D0D0D" w:themeColor="text1" w:themeTint="F2"/>
                <w:sz w:val="20"/>
                <w:szCs w:val="20"/>
              </w:rPr>
              <w:t>6</w:t>
            </w:r>
            <w:r w:rsidR="00882D41" w:rsidRPr="000410CA">
              <w:rPr>
                <w:rFonts w:ascii="Cambria" w:hAnsi="Cambria"/>
                <w:color w:val="0D0D0D" w:themeColor="text1" w:themeTint="F2"/>
                <w:sz w:val="20"/>
                <w:szCs w:val="20"/>
              </w:rPr>
              <w:t>.</w:t>
            </w:r>
          </w:p>
          <w:p w14:paraId="0E37CE87" w14:textId="0F927280" w:rsidR="00A85180" w:rsidRPr="006768B7" w:rsidRDefault="00376B15" w:rsidP="00003362">
            <w:pPr>
              <w:pageBreakBefore/>
              <w:spacing w:before="60" w:after="60"/>
              <w:jc w:val="both"/>
              <w:rPr>
                <w:rFonts w:ascii="Cambria" w:hAnsi="Cambria"/>
                <w:color w:val="0D0D0D" w:themeColor="text1" w:themeTint="F2"/>
                <w:sz w:val="20"/>
                <w:szCs w:val="20"/>
              </w:rPr>
            </w:pPr>
            <w:r w:rsidRPr="006768B7">
              <w:rPr>
                <w:rFonts w:ascii="Cambria" w:hAnsi="Cambria"/>
                <w:color w:val="0D0D0D" w:themeColor="text1" w:themeTint="F2"/>
                <w:sz w:val="20"/>
                <w:szCs w:val="20"/>
              </w:rPr>
              <w:t>Naručilac usluge se obavezuje da će Izvršiocu usluge platiti ugovorenu uslugu prema prethodno dostavljenoj ponudi formiranoj na osnovu cena iz važećeg cenovnika Izvršioca usluge.</w:t>
            </w:r>
            <w:r w:rsidR="006768B7" w:rsidRPr="006768B7">
              <w:rPr>
                <w:rFonts w:ascii="Cambria" w:hAnsi="Cambria"/>
                <w:color w:val="0D0D0D" w:themeColor="text1" w:themeTint="F2"/>
                <w:sz w:val="20"/>
                <w:szCs w:val="20"/>
              </w:rPr>
              <w:t xml:space="preserve"> U ime i za račun korisnika, uslugu može platiti i treće pravno ili fizičko lice. Izvršilac usluge može tražiti da se plaćanje usluge iz ovog Ugovora izvrši pre početka postupka ocenjivanja usaglašenosti proizvoda.</w:t>
            </w:r>
          </w:p>
        </w:tc>
      </w:tr>
      <w:tr w:rsidR="00376B15" w:rsidRPr="00864E86" w14:paraId="3BEE34A4" w14:textId="77777777" w:rsidTr="001B5636">
        <w:trPr>
          <w:jc w:val="center"/>
        </w:trPr>
        <w:tc>
          <w:tcPr>
            <w:tcW w:w="9639" w:type="dxa"/>
            <w:gridSpan w:val="2"/>
            <w:tcBorders>
              <w:top w:val="nil"/>
              <w:left w:val="nil"/>
              <w:bottom w:val="nil"/>
              <w:right w:val="nil"/>
            </w:tcBorders>
          </w:tcPr>
          <w:p w14:paraId="22006FE6" w14:textId="41541C7F" w:rsidR="00376B15" w:rsidRPr="00864E86" w:rsidRDefault="00376B15" w:rsidP="00882D41">
            <w:pPr>
              <w:spacing w:before="60" w:after="60"/>
              <w:jc w:val="both"/>
              <w:rPr>
                <w:rFonts w:ascii="Cambria" w:hAnsi="Cambria"/>
                <w:b/>
                <w:bCs/>
                <w:color w:val="0D0D0D" w:themeColor="text1" w:themeTint="F2"/>
                <w:sz w:val="20"/>
                <w:szCs w:val="20"/>
              </w:rPr>
            </w:pPr>
            <w:r w:rsidRPr="00864E86">
              <w:rPr>
                <w:rFonts w:ascii="Cambria" w:hAnsi="Cambria"/>
                <w:b/>
                <w:bCs/>
                <w:color w:val="0D0D0D" w:themeColor="text1" w:themeTint="F2"/>
                <w:sz w:val="20"/>
                <w:szCs w:val="20"/>
              </w:rPr>
              <w:t>Način informisanja</w:t>
            </w:r>
          </w:p>
          <w:p w14:paraId="05D19B7B" w14:textId="2FA967D2" w:rsidR="00376B15" w:rsidRPr="000410CA" w:rsidRDefault="00376B15" w:rsidP="00882D41">
            <w:pPr>
              <w:spacing w:before="120" w:after="60"/>
              <w:jc w:val="both"/>
              <w:rPr>
                <w:rFonts w:ascii="Cambria" w:hAnsi="Cambria"/>
                <w:color w:val="0D0D0D" w:themeColor="text1" w:themeTint="F2"/>
                <w:sz w:val="20"/>
                <w:szCs w:val="20"/>
              </w:rPr>
            </w:pPr>
            <w:r w:rsidRPr="000410CA">
              <w:rPr>
                <w:rFonts w:ascii="Cambria" w:hAnsi="Cambria"/>
                <w:color w:val="0D0D0D" w:themeColor="text1" w:themeTint="F2"/>
                <w:sz w:val="20"/>
                <w:szCs w:val="20"/>
              </w:rPr>
              <w:t>Član 1</w:t>
            </w:r>
            <w:r w:rsidR="00F55FC7">
              <w:rPr>
                <w:rFonts w:ascii="Cambria" w:hAnsi="Cambria"/>
                <w:color w:val="0D0D0D" w:themeColor="text1" w:themeTint="F2"/>
                <w:sz w:val="20"/>
                <w:szCs w:val="20"/>
              </w:rPr>
              <w:t>7</w:t>
            </w:r>
            <w:r w:rsidR="00882D41" w:rsidRPr="000410CA">
              <w:rPr>
                <w:rFonts w:ascii="Cambria" w:hAnsi="Cambria"/>
                <w:color w:val="0D0D0D" w:themeColor="text1" w:themeTint="F2"/>
                <w:sz w:val="20"/>
                <w:szCs w:val="20"/>
              </w:rPr>
              <w:t>.</w:t>
            </w:r>
          </w:p>
          <w:p w14:paraId="349E6750" w14:textId="554677C1" w:rsidR="00376B15" w:rsidRPr="00864E86" w:rsidRDefault="00376B15" w:rsidP="00882D41">
            <w:pPr>
              <w:spacing w:before="60" w:after="60"/>
              <w:jc w:val="both"/>
              <w:rPr>
                <w:rFonts w:ascii="Cambria" w:hAnsi="Cambria"/>
                <w:color w:val="0D0D0D" w:themeColor="text1" w:themeTint="F2"/>
                <w:sz w:val="20"/>
                <w:szCs w:val="20"/>
              </w:rPr>
            </w:pPr>
            <w:r w:rsidRPr="00864E86">
              <w:rPr>
                <w:rFonts w:ascii="Cambria" w:hAnsi="Cambria"/>
                <w:color w:val="0D0D0D" w:themeColor="text1" w:themeTint="F2"/>
                <w:sz w:val="20"/>
                <w:szCs w:val="20"/>
              </w:rPr>
              <w:t>Sve informacije, u obostranom interesu ugovornih strana, biće dostavljane u pisanoj formi.</w:t>
            </w:r>
          </w:p>
        </w:tc>
      </w:tr>
      <w:tr w:rsidR="00376B15" w:rsidRPr="00A37D66" w14:paraId="099956C8" w14:textId="77777777" w:rsidTr="001B5636">
        <w:trPr>
          <w:jc w:val="center"/>
        </w:trPr>
        <w:tc>
          <w:tcPr>
            <w:tcW w:w="9639" w:type="dxa"/>
            <w:gridSpan w:val="2"/>
            <w:tcBorders>
              <w:top w:val="nil"/>
              <w:left w:val="nil"/>
              <w:bottom w:val="nil"/>
              <w:right w:val="nil"/>
            </w:tcBorders>
          </w:tcPr>
          <w:p w14:paraId="27A05A09" w14:textId="136FC6B0" w:rsidR="00376B15" w:rsidRPr="00864E86" w:rsidRDefault="00376B15" w:rsidP="00B804E3">
            <w:pPr>
              <w:spacing w:before="60" w:after="60"/>
              <w:jc w:val="both"/>
              <w:rPr>
                <w:rFonts w:ascii="Cambria" w:hAnsi="Cambria"/>
                <w:b/>
                <w:bCs/>
                <w:color w:val="0D0D0D" w:themeColor="text1" w:themeTint="F2"/>
                <w:sz w:val="20"/>
                <w:szCs w:val="20"/>
              </w:rPr>
            </w:pPr>
            <w:r w:rsidRPr="00864E86">
              <w:rPr>
                <w:rFonts w:ascii="Cambria" w:hAnsi="Cambria"/>
                <w:b/>
                <w:bCs/>
                <w:color w:val="0D0D0D" w:themeColor="text1" w:themeTint="F2"/>
                <w:sz w:val="20"/>
                <w:szCs w:val="20"/>
              </w:rPr>
              <w:t>Rešavanje sporova</w:t>
            </w:r>
          </w:p>
          <w:p w14:paraId="4DAAE28F" w14:textId="64AF294C" w:rsidR="00376B15" w:rsidRPr="000410CA" w:rsidRDefault="00376B15" w:rsidP="00B804E3">
            <w:pPr>
              <w:spacing w:before="120" w:after="60"/>
              <w:jc w:val="both"/>
              <w:rPr>
                <w:rFonts w:ascii="Cambria" w:hAnsi="Cambria"/>
                <w:color w:val="0D0D0D" w:themeColor="text1" w:themeTint="F2"/>
                <w:sz w:val="20"/>
                <w:szCs w:val="20"/>
              </w:rPr>
            </w:pPr>
            <w:r w:rsidRPr="000410CA">
              <w:rPr>
                <w:rFonts w:ascii="Cambria" w:hAnsi="Cambria"/>
                <w:color w:val="0D0D0D" w:themeColor="text1" w:themeTint="F2"/>
                <w:sz w:val="20"/>
                <w:szCs w:val="20"/>
              </w:rPr>
              <w:t>Član 1</w:t>
            </w:r>
            <w:r w:rsidR="00F55FC7">
              <w:rPr>
                <w:rFonts w:ascii="Cambria" w:hAnsi="Cambria"/>
                <w:color w:val="0D0D0D" w:themeColor="text1" w:themeTint="F2"/>
                <w:sz w:val="20"/>
                <w:szCs w:val="20"/>
              </w:rPr>
              <w:t>8</w:t>
            </w:r>
            <w:r w:rsidR="00B804E3" w:rsidRPr="000410CA">
              <w:rPr>
                <w:rFonts w:ascii="Cambria" w:hAnsi="Cambria"/>
                <w:color w:val="0D0D0D" w:themeColor="text1" w:themeTint="F2"/>
                <w:sz w:val="20"/>
                <w:szCs w:val="20"/>
              </w:rPr>
              <w:t>.</w:t>
            </w:r>
          </w:p>
          <w:p w14:paraId="2FC2793E" w14:textId="3EFD09F8" w:rsidR="00376B15" w:rsidRPr="00864E86" w:rsidRDefault="00376B15" w:rsidP="00B804E3">
            <w:pPr>
              <w:spacing w:before="60" w:after="60"/>
              <w:jc w:val="both"/>
              <w:rPr>
                <w:rFonts w:ascii="Cambria" w:hAnsi="Cambria"/>
                <w:color w:val="0D0D0D" w:themeColor="text1" w:themeTint="F2"/>
                <w:sz w:val="20"/>
                <w:szCs w:val="20"/>
              </w:rPr>
            </w:pPr>
            <w:r w:rsidRPr="00864E86">
              <w:rPr>
                <w:rFonts w:ascii="Cambria" w:hAnsi="Cambria"/>
                <w:color w:val="0D0D0D" w:themeColor="text1" w:themeTint="F2"/>
                <w:sz w:val="20"/>
                <w:szCs w:val="20"/>
              </w:rPr>
              <w:t xml:space="preserve">Ugovorne strane su saglasne da sve eventualne sporove u vezi sa izvršavanjem obaveza koje proističu iz ovog </w:t>
            </w:r>
            <w:r w:rsidR="00864E86" w:rsidRPr="00864E86">
              <w:rPr>
                <w:rFonts w:ascii="Cambria" w:hAnsi="Cambria"/>
                <w:color w:val="0D0D0D" w:themeColor="text1" w:themeTint="F2"/>
                <w:sz w:val="20"/>
                <w:szCs w:val="20"/>
              </w:rPr>
              <w:t>Ugovora</w:t>
            </w:r>
            <w:r w:rsidRPr="00864E86">
              <w:rPr>
                <w:rFonts w:ascii="Cambria" w:hAnsi="Cambria"/>
                <w:color w:val="0D0D0D" w:themeColor="text1" w:themeTint="F2"/>
                <w:sz w:val="20"/>
                <w:szCs w:val="20"/>
              </w:rPr>
              <w:t xml:space="preserve"> rešavaju uz dogovor, a u suprotnom spor će rešavati nadležni sud u </w:t>
            </w:r>
            <w:r w:rsidR="00B804E3" w:rsidRPr="00864E86">
              <w:rPr>
                <w:rFonts w:ascii="Cambria" w:hAnsi="Cambria"/>
                <w:color w:val="0D0D0D" w:themeColor="text1" w:themeTint="F2"/>
                <w:sz w:val="20"/>
                <w:szCs w:val="20"/>
              </w:rPr>
              <w:t>Novom Sadu</w:t>
            </w:r>
            <w:r w:rsidRPr="00864E86">
              <w:rPr>
                <w:rFonts w:ascii="Cambria" w:hAnsi="Cambria"/>
                <w:color w:val="0D0D0D" w:themeColor="text1" w:themeTint="F2"/>
                <w:sz w:val="20"/>
                <w:szCs w:val="20"/>
              </w:rPr>
              <w:t>.</w:t>
            </w:r>
          </w:p>
          <w:p w14:paraId="52B20B93" w14:textId="6DC0141F" w:rsidR="00376B15" w:rsidRPr="000410CA" w:rsidRDefault="00376B15" w:rsidP="00B804E3">
            <w:pPr>
              <w:spacing w:before="120" w:after="60"/>
              <w:jc w:val="both"/>
              <w:rPr>
                <w:rFonts w:ascii="Cambria" w:hAnsi="Cambria"/>
                <w:color w:val="0D0D0D" w:themeColor="text1" w:themeTint="F2"/>
                <w:sz w:val="20"/>
                <w:szCs w:val="20"/>
              </w:rPr>
            </w:pPr>
            <w:r w:rsidRPr="000410CA">
              <w:rPr>
                <w:rFonts w:ascii="Cambria" w:hAnsi="Cambria"/>
                <w:color w:val="0D0D0D" w:themeColor="text1" w:themeTint="F2"/>
                <w:sz w:val="20"/>
                <w:szCs w:val="20"/>
              </w:rPr>
              <w:t xml:space="preserve">Član </w:t>
            </w:r>
            <w:r w:rsidR="00F55FC7">
              <w:rPr>
                <w:rFonts w:ascii="Cambria" w:hAnsi="Cambria"/>
                <w:color w:val="0D0D0D" w:themeColor="text1" w:themeTint="F2"/>
                <w:sz w:val="20"/>
                <w:szCs w:val="20"/>
              </w:rPr>
              <w:t>19</w:t>
            </w:r>
            <w:r w:rsidR="00B804E3" w:rsidRPr="000410CA">
              <w:rPr>
                <w:rFonts w:ascii="Cambria" w:hAnsi="Cambria"/>
                <w:color w:val="0D0D0D" w:themeColor="text1" w:themeTint="F2"/>
                <w:sz w:val="20"/>
                <w:szCs w:val="20"/>
              </w:rPr>
              <w:t>.</w:t>
            </w:r>
          </w:p>
          <w:p w14:paraId="3088C279" w14:textId="1372EE42" w:rsidR="00376B15" w:rsidRPr="00A37D66" w:rsidRDefault="00376B15" w:rsidP="00B804E3">
            <w:pPr>
              <w:spacing w:before="60" w:after="60"/>
              <w:jc w:val="both"/>
              <w:rPr>
                <w:rFonts w:ascii="Cambria" w:hAnsi="Cambria"/>
                <w:color w:val="0D0D0D" w:themeColor="text1" w:themeTint="F2"/>
                <w:sz w:val="20"/>
                <w:szCs w:val="20"/>
                <w:highlight w:val="yellow"/>
              </w:rPr>
            </w:pPr>
            <w:r w:rsidRPr="00864E86">
              <w:rPr>
                <w:rFonts w:ascii="Cambria" w:hAnsi="Cambria"/>
                <w:color w:val="0D0D0D" w:themeColor="text1" w:themeTint="F2"/>
                <w:sz w:val="20"/>
                <w:szCs w:val="20"/>
              </w:rPr>
              <w:t>Ukoliko je nezadovoljan izvršenom uslugom Naručilac usluge može uložiti prigovor ili žalbu, u pisanoj formi, u roku od 15 dana od dana izvršenja usluge. Razmatranje prigovora i žalbi i odlučivanje po istima vrši se u skladu sa predmetnom procedurom Izvršioca usluge.</w:t>
            </w:r>
          </w:p>
        </w:tc>
      </w:tr>
      <w:tr w:rsidR="00376B15" w:rsidRPr="00A37D66" w14:paraId="78DAC44C" w14:textId="77777777" w:rsidTr="001B5636">
        <w:trPr>
          <w:jc w:val="center"/>
        </w:trPr>
        <w:tc>
          <w:tcPr>
            <w:tcW w:w="9639" w:type="dxa"/>
            <w:gridSpan w:val="2"/>
            <w:tcBorders>
              <w:top w:val="nil"/>
              <w:left w:val="nil"/>
              <w:bottom w:val="nil"/>
              <w:right w:val="nil"/>
            </w:tcBorders>
          </w:tcPr>
          <w:p w14:paraId="1402852E" w14:textId="6AADCD25" w:rsidR="00376B15" w:rsidRPr="00864E86" w:rsidRDefault="00376B15" w:rsidP="00365FD6">
            <w:pPr>
              <w:spacing w:before="60" w:after="60"/>
              <w:jc w:val="both"/>
              <w:rPr>
                <w:rFonts w:ascii="Cambria" w:hAnsi="Cambria"/>
                <w:b/>
                <w:bCs/>
                <w:color w:val="0D0D0D" w:themeColor="text1" w:themeTint="F2"/>
                <w:sz w:val="20"/>
                <w:szCs w:val="20"/>
              </w:rPr>
            </w:pPr>
            <w:r w:rsidRPr="00864E86">
              <w:rPr>
                <w:rFonts w:ascii="Cambria" w:hAnsi="Cambria"/>
                <w:b/>
                <w:bCs/>
                <w:color w:val="0D0D0D" w:themeColor="text1" w:themeTint="F2"/>
                <w:sz w:val="20"/>
                <w:szCs w:val="20"/>
              </w:rPr>
              <w:t xml:space="preserve">Trajanje i izmene </w:t>
            </w:r>
            <w:r w:rsidR="006768B7">
              <w:rPr>
                <w:rFonts w:ascii="Cambria" w:hAnsi="Cambria"/>
                <w:b/>
                <w:bCs/>
                <w:color w:val="0D0D0D" w:themeColor="text1" w:themeTint="F2"/>
                <w:sz w:val="20"/>
                <w:szCs w:val="20"/>
              </w:rPr>
              <w:t>Ugovora</w:t>
            </w:r>
          </w:p>
          <w:p w14:paraId="3FBBF52D" w14:textId="75E6E88F" w:rsidR="00376B15" w:rsidRPr="000410CA" w:rsidRDefault="00376B15" w:rsidP="00365FD6">
            <w:pPr>
              <w:spacing w:before="120" w:after="60"/>
              <w:jc w:val="both"/>
              <w:rPr>
                <w:rFonts w:ascii="Cambria" w:hAnsi="Cambria"/>
                <w:color w:val="0D0D0D" w:themeColor="text1" w:themeTint="F2"/>
                <w:sz w:val="20"/>
                <w:szCs w:val="20"/>
              </w:rPr>
            </w:pPr>
            <w:r w:rsidRPr="000410CA">
              <w:rPr>
                <w:rFonts w:ascii="Cambria" w:hAnsi="Cambria"/>
                <w:color w:val="0D0D0D" w:themeColor="text1" w:themeTint="F2"/>
                <w:sz w:val="20"/>
                <w:szCs w:val="20"/>
              </w:rPr>
              <w:t>Član 2</w:t>
            </w:r>
            <w:r w:rsidR="00F55FC7">
              <w:rPr>
                <w:rFonts w:ascii="Cambria" w:hAnsi="Cambria"/>
                <w:color w:val="0D0D0D" w:themeColor="text1" w:themeTint="F2"/>
                <w:sz w:val="20"/>
                <w:szCs w:val="20"/>
              </w:rPr>
              <w:t>0</w:t>
            </w:r>
            <w:r w:rsidR="00365FD6" w:rsidRPr="000410CA">
              <w:rPr>
                <w:rFonts w:ascii="Cambria" w:hAnsi="Cambria"/>
                <w:color w:val="0D0D0D" w:themeColor="text1" w:themeTint="F2"/>
                <w:sz w:val="20"/>
                <w:szCs w:val="20"/>
              </w:rPr>
              <w:t>.</w:t>
            </w:r>
          </w:p>
          <w:p w14:paraId="28B9936B" w14:textId="4D6C6079" w:rsidR="00376B15" w:rsidRPr="006768B7" w:rsidRDefault="00376B15" w:rsidP="00365FD6">
            <w:pPr>
              <w:spacing w:before="60" w:after="60"/>
              <w:jc w:val="both"/>
              <w:rPr>
                <w:rFonts w:ascii="Cambria" w:hAnsi="Cambria"/>
                <w:color w:val="0D0D0D" w:themeColor="text1" w:themeTint="F2"/>
                <w:sz w:val="20"/>
                <w:szCs w:val="20"/>
              </w:rPr>
            </w:pPr>
            <w:r w:rsidRPr="006768B7">
              <w:rPr>
                <w:rFonts w:ascii="Cambria" w:hAnsi="Cambria"/>
                <w:color w:val="0D0D0D" w:themeColor="text1" w:themeTint="F2"/>
                <w:sz w:val="20"/>
                <w:szCs w:val="20"/>
              </w:rPr>
              <w:t xml:space="preserve">Ovaj </w:t>
            </w:r>
            <w:r w:rsidR="006768B7" w:rsidRPr="006768B7">
              <w:rPr>
                <w:rFonts w:ascii="Cambria" w:hAnsi="Cambria"/>
                <w:color w:val="0D0D0D" w:themeColor="text1" w:themeTint="F2"/>
                <w:sz w:val="20"/>
                <w:szCs w:val="20"/>
              </w:rPr>
              <w:t>Ugovor</w:t>
            </w:r>
            <w:r w:rsidRPr="006768B7">
              <w:rPr>
                <w:rFonts w:ascii="Cambria" w:hAnsi="Cambria"/>
                <w:color w:val="0D0D0D" w:themeColor="text1" w:themeTint="F2"/>
                <w:sz w:val="20"/>
                <w:szCs w:val="20"/>
              </w:rPr>
              <w:t xml:space="preserve"> se zaključuje na neodređeno vreme i važi za sve podnete Zahteve za ocenjivanje usaglašenosti</w:t>
            </w:r>
            <w:r w:rsidR="006768B7" w:rsidRPr="006768B7">
              <w:rPr>
                <w:rFonts w:ascii="Cambria" w:hAnsi="Cambria"/>
                <w:color w:val="0D0D0D" w:themeColor="text1" w:themeTint="F2"/>
                <w:sz w:val="20"/>
                <w:szCs w:val="20"/>
              </w:rPr>
              <w:t xml:space="preserve"> proizvoda</w:t>
            </w:r>
            <w:r w:rsidRPr="006768B7">
              <w:rPr>
                <w:rFonts w:ascii="Cambria" w:hAnsi="Cambria"/>
                <w:color w:val="0D0D0D" w:themeColor="text1" w:themeTint="F2"/>
                <w:sz w:val="20"/>
                <w:szCs w:val="20"/>
              </w:rPr>
              <w:t xml:space="preserve"> tokom trajanja ovog </w:t>
            </w:r>
            <w:r w:rsidR="006768B7" w:rsidRPr="006768B7">
              <w:rPr>
                <w:rFonts w:ascii="Cambria" w:hAnsi="Cambria"/>
                <w:color w:val="0D0D0D" w:themeColor="text1" w:themeTint="F2"/>
                <w:sz w:val="20"/>
                <w:szCs w:val="20"/>
              </w:rPr>
              <w:t>Ugovora</w:t>
            </w:r>
            <w:r w:rsidRPr="006768B7">
              <w:rPr>
                <w:rFonts w:ascii="Cambria" w:hAnsi="Cambria"/>
                <w:color w:val="0D0D0D" w:themeColor="text1" w:themeTint="F2"/>
                <w:sz w:val="20"/>
                <w:szCs w:val="20"/>
              </w:rPr>
              <w:t xml:space="preserve">. Sastavni deo ovog </w:t>
            </w:r>
            <w:r w:rsidR="006768B7" w:rsidRPr="006768B7">
              <w:rPr>
                <w:rFonts w:ascii="Cambria" w:hAnsi="Cambria"/>
                <w:color w:val="0D0D0D" w:themeColor="text1" w:themeTint="F2"/>
                <w:sz w:val="20"/>
                <w:szCs w:val="20"/>
              </w:rPr>
              <w:t>Ugovora</w:t>
            </w:r>
            <w:r w:rsidRPr="006768B7">
              <w:rPr>
                <w:rFonts w:ascii="Cambria" w:hAnsi="Cambria"/>
                <w:color w:val="0D0D0D" w:themeColor="text1" w:themeTint="F2"/>
                <w:sz w:val="20"/>
                <w:szCs w:val="20"/>
              </w:rPr>
              <w:t xml:space="preserve"> čine svi zahtevi Naručioca usluge koji su podneti tokom trajanja istog.</w:t>
            </w:r>
          </w:p>
          <w:p w14:paraId="72594211" w14:textId="08D43703" w:rsidR="00376B15" w:rsidRPr="00B5532C" w:rsidRDefault="00376B15" w:rsidP="00365FD6">
            <w:pPr>
              <w:spacing w:before="60" w:after="60"/>
              <w:jc w:val="both"/>
              <w:rPr>
                <w:rFonts w:ascii="Cambria" w:hAnsi="Cambria"/>
                <w:color w:val="0D0D0D" w:themeColor="text1" w:themeTint="F2"/>
                <w:sz w:val="20"/>
                <w:szCs w:val="20"/>
              </w:rPr>
            </w:pPr>
            <w:r w:rsidRPr="00B5532C">
              <w:rPr>
                <w:rFonts w:ascii="Cambria" w:hAnsi="Cambria"/>
                <w:color w:val="0D0D0D" w:themeColor="text1" w:themeTint="F2"/>
                <w:sz w:val="20"/>
                <w:szCs w:val="20"/>
              </w:rPr>
              <w:t xml:space="preserve">Nakon isteka roka važenja izdatih Potvrda o usaglašenosti ugovorne strane mogu jednostrano, ili sporazumno, raskinuti ovaj </w:t>
            </w:r>
            <w:r w:rsidR="00B5532C" w:rsidRPr="00B5532C">
              <w:rPr>
                <w:rFonts w:ascii="Cambria" w:hAnsi="Cambria"/>
                <w:color w:val="0D0D0D" w:themeColor="text1" w:themeTint="F2"/>
                <w:sz w:val="20"/>
                <w:szCs w:val="20"/>
              </w:rPr>
              <w:t>Ugovor o ocenjivanju usaglašenosti</w:t>
            </w:r>
            <w:r w:rsidRPr="00B5532C">
              <w:rPr>
                <w:rFonts w:ascii="Cambria" w:hAnsi="Cambria"/>
                <w:color w:val="0D0D0D" w:themeColor="text1" w:themeTint="F2"/>
                <w:sz w:val="20"/>
                <w:szCs w:val="20"/>
              </w:rPr>
              <w:t>.</w:t>
            </w:r>
          </w:p>
          <w:p w14:paraId="654869FA" w14:textId="3357EC21" w:rsidR="00376B15" w:rsidRPr="000410CA" w:rsidRDefault="00376B15" w:rsidP="00365FD6">
            <w:pPr>
              <w:spacing w:before="120" w:after="60"/>
              <w:jc w:val="both"/>
              <w:rPr>
                <w:rFonts w:ascii="Cambria" w:hAnsi="Cambria"/>
                <w:color w:val="0D0D0D" w:themeColor="text1" w:themeTint="F2"/>
                <w:sz w:val="20"/>
                <w:szCs w:val="20"/>
              </w:rPr>
            </w:pPr>
            <w:r w:rsidRPr="000410CA">
              <w:rPr>
                <w:rFonts w:ascii="Cambria" w:hAnsi="Cambria"/>
                <w:color w:val="0D0D0D" w:themeColor="text1" w:themeTint="F2"/>
                <w:sz w:val="20"/>
                <w:szCs w:val="20"/>
              </w:rPr>
              <w:t>Član 2</w:t>
            </w:r>
            <w:r w:rsidR="00F55FC7">
              <w:rPr>
                <w:rFonts w:ascii="Cambria" w:hAnsi="Cambria"/>
                <w:color w:val="0D0D0D" w:themeColor="text1" w:themeTint="F2"/>
                <w:sz w:val="20"/>
                <w:szCs w:val="20"/>
              </w:rPr>
              <w:t>1</w:t>
            </w:r>
            <w:r w:rsidR="00365FD6" w:rsidRPr="000410CA">
              <w:rPr>
                <w:rFonts w:ascii="Cambria" w:hAnsi="Cambria"/>
                <w:color w:val="0D0D0D" w:themeColor="text1" w:themeTint="F2"/>
                <w:sz w:val="20"/>
                <w:szCs w:val="20"/>
              </w:rPr>
              <w:t>.</w:t>
            </w:r>
          </w:p>
          <w:p w14:paraId="261699ED" w14:textId="36A36E8B" w:rsidR="00376B15" w:rsidRPr="004E2AFE" w:rsidRDefault="00376B15" w:rsidP="00365FD6">
            <w:pPr>
              <w:spacing w:before="60" w:after="60"/>
              <w:jc w:val="both"/>
              <w:rPr>
                <w:rFonts w:ascii="Cambria" w:hAnsi="Cambria"/>
                <w:color w:val="0D0D0D" w:themeColor="text1" w:themeTint="F2"/>
                <w:sz w:val="20"/>
                <w:szCs w:val="20"/>
              </w:rPr>
            </w:pPr>
            <w:r w:rsidRPr="004E2AFE">
              <w:rPr>
                <w:rFonts w:ascii="Cambria" w:hAnsi="Cambria"/>
                <w:color w:val="0D0D0D" w:themeColor="text1" w:themeTint="F2"/>
                <w:sz w:val="20"/>
                <w:szCs w:val="20"/>
              </w:rPr>
              <w:t>Izvršilac usluge vodi evidenciju o izdatim Potvrdama o usaglašenosti i na zahtev Naručioca usluge izdaje Izvod iz evidencije izdatih potvrda o usaglašenosti. Za nove isporuke proizvoda istog proizvođača i iste vrste, odnosno tipa za koji je izdata Potvrda o usaglašenosti nije potrebno ponovo dostavljati tehničku dokumentaciju, a kao dokaz o važenju izdate Potvrde o usaglašenosti koristi se Izvod iz evidencije izdatih Potvrda o usaglašenosti.</w:t>
            </w:r>
          </w:p>
          <w:p w14:paraId="4C1BE779" w14:textId="5DB6F37A" w:rsidR="00376B15" w:rsidRPr="000410CA" w:rsidRDefault="00376B15" w:rsidP="00365FD6">
            <w:pPr>
              <w:spacing w:before="120" w:after="60"/>
              <w:jc w:val="both"/>
              <w:rPr>
                <w:rFonts w:ascii="Cambria" w:hAnsi="Cambria"/>
                <w:color w:val="0D0D0D" w:themeColor="text1" w:themeTint="F2"/>
                <w:sz w:val="20"/>
                <w:szCs w:val="20"/>
              </w:rPr>
            </w:pPr>
            <w:r w:rsidRPr="000410CA">
              <w:rPr>
                <w:rFonts w:ascii="Cambria" w:hAnsi="Cambria"/>
                <w:color w:val="0D0D0D" w:themeColor="text1" w:themeTint="F2"/>
                <w:sz w:val="20"/>
                <w:szCs w:val="20"/>
              </w:rPr>
              <w:t>Član 2</w:t>
            </w:r>
            <w:r w:rsidR="00F55FC7">
              <w:rPr>
                <w:rFonts w:ascii="Cambria" w:hAnsi="Cambria"/>
                <w:color w:val="0D0D0D" w:themeColor="text1" w:themeTint="F2"/>
                <w:sz w:val="20"/>
                <w:szCs w:val="20"/>
              </w:rPr>
              <w:t>2</w:t>
            </w:r>
            <w:r w:rsidR="00365FD6" w:rsidRPr="000410CA">
              <w:rPr>
                <w:rFonts w:ascii="Cambria" w:hAnsi="Cambria"/>
                <w:color w:val="0D0D0D" w:themeColor="text1" w:themeTint="F2"/>
                <w:sz w:val="20"/>
                <w:szCs w:val="20"/>
              </w:rPr>
              <w:t>.</w:t>
            </w:r>
          </w:p>
          <w:p w14:paraId="4AF49C60" w14:textId="77777777" w:rsidR="004E2AFE" w:rsidRPr="004E2AFE" w:rsidRDefault="00376B15" w:rsidP="00365FD6">
            <w:pPr>
              <w:spacing w:before="60" w:after="60"/>
              <w:jc w:val="both"/>
              <w:rPr>
                <w:rFonts w:ascii="Cambria" w:hAnsi="Cambria"/>
                <w:color w:val="0D0D0D" w:themeColor="text1" w:themeTint="F2"/>
                <w:sz w:val="20"/>
                <w:szCs w:val="20"/>
              </w:rPr>
            </w:pPr>
            <w:r w:rsidRPr="004E2AFE">
              <w:rPr>
                <w:rFonts w:ascii="Cambria" w:hAnsi="Cambria"/>
                <w:color w:val="0D0D0D" w:themeColor="text1" w:themeTint="F2"/>
                <w:sz w:val="20"/>
                <w:szCs w:val="20"/>
              </w:rPr>
              <w:t xml:space="preserve">Sve izmene ili dopune ovog </w:t>
            </w:r>
            <w:r w:rsidR="006768B7" w:rsidRPr="004E2AFE">
              <w:rPr>
                <w:rFonts w:ascii="Cambria" w:hAnsi="Cambria"/>
                <w:color w:val="0D0D0D" w:themeColor="text1" w:themeTint="F2"/>
                <w:sz w:val="20"/>
                <w:szCs w:val="20"/>
              </w:rPr>
              <w:t>Ugovora</w:t>
            </w:r>
            <w:r w:rsidRPr="004E2AFE">
              <w:rPr>
                <w:rFonts w:ascii="Cambria" w:hAnsi="Cambria"/>
                <w:color w:val="0D0D0D" w:themeColor="text1" w:themeTint="F2"/>
                <w:sz w:val="20"/>
                <w:szCs w:val="20"/>
              </w:rPr>
              <w:t xml:space="preserve"> vršiće se Ane</w:t>
            </w:r>
            <w:r w:rsidR="00365FD6" w:rsidRPr="004E2AFE">
              <w:rPr>
                <w:rFonts w:ascii="Cambria" w:hAnsi="Cambria"/>
                <w:color w:val="0D0D0D" w:themeColor="text1" w:themeTint="F2"/>
                <w:sz w:val="20"/>
                <w:szCs w:val="20"/>
              </w:rPr>
              <w:t>ksom</w:t>
            </w:r>
            <w:r w:rsidRPr="004E2AFE">
              <w:rPr>
                <w:rFonts w:ascii="Cambria" w:hAnsi="Cambria"/>
                <w:color w:val="0D0D0D" w:themeColor="text1" w:themeTint="F2"/>
                <w:sz w:val="20"/>
                <w:szCs w:val="20"/>
              </w:rPr>
              <w:t xml:space="preserve">. </w:t>
            </w:r>
          </w:p>
          <w:p w14:paraId="62F629D6" w14:textId="0976E4AE" w:rsidR="004E2AFE" w:rsidRPr="000410CA" w:rsidRDefault="004E2AFE" w:rsidP="003256F0">
            <w:pPr>
              <w:spacing w:before="120" w:after="60"/>
              <w:jc w:val="both"/>
              <w:rPr>
                <w:rFonts w:ascii="Cambria" w:hAnsi="Cambria"/>
                <w:color w:val="0D0D0D" w:themeColor="text1" w:themeTint="F2"/>
                <w:sz w:val="20"/>
                <w:szCs w:val="20"/>
              </w:rPr>
            </w:pPr>
            <w:r w:rsidRPr="000410CA">
              <w:rPr>
                <w:rFonts w:ascii="Cambria" w:hAnsi="Cambria"/>
                <w:color w:val="0D0D0D" w:themeColor="text1" w:themeTint="F2"/>
                <w:sz w:val="20"/>
                <w:szCs w:val="20"/>
              </w:rPr>
              <w:t>Član 2</w:t>
            </w:r>
            <w:r w:rsidR="00F55FC7">
              <w:rPr>
                <w:rFonts w:ascii="Cambria" w:hAnsi="Cambria"/>
                <w:color w:val="0D0D0D" w:themeColor="text1" w:themeTint="F2"/>
                <w:sz w:val="20"/>
                <w:szCs w:val="20"/>
              </w:rPr>
              <w:t>3</w:t>
            </w:r>
            <w:r w:rsidRPr="000410CA">
              <w:rPr>
                <w:rFonts w:ascii="Cambria" w:hAnsi="Cambria"/>
                <w:color w:val="0D0D0D" w:themeColor="text1" w:themeTint="F2"/>
                <w:sz w:val="20"/>
                <w:szCs w:val="20"/>
              </w:rPr>
              <w:t xml:space="preserve">. </w:t>
            </w:r>
          </w:p>
          <w:p w14:paraId="6FD74E78" w14:textId="77777777" w:rsidR="004E2AFE" w:rsidRPr="004E2AFE" w:rsidRDefault="004E2AFE" w:rsidP="00365FD6">
            <w:pPr>
              <w:spacing w:before="60" w:after="60"/>
              <w:jc w:val="both"/>
              <w:rPr>
                <w:rFonts w:ascii="Cambria" w:hAnsi="Cambria"/>
                <w:color w:val="0D0D0D" w:themeColor="text1" w:themeTint="F2"/>
                <w:sz w:val="20"/>
                <w:szCs w:val="20"/>
              </w:rPr>
            </w:pPr>
            <w:r w:rsidRPr="004E2AFE">
              <w:rPr>
                <w:rFonts w:ascii="Cambria" w:hAnsi="Cambria"/>
                <w:color w:val="0D0D0D" w:themeColor="text1" w:themeTint="F2"/>
                <w:sz w:val="20"/>
                <w:szCs w:val="20"/>
              </w:rPr>
              <w:t>Ugovorne strane mogu sporazumno raskinuti ovaj Ugovor.</w:t>
            </w:r>
          </w:p>
          <w:p w14:paraId="40FCEDBD" w14:textId="7041102F" w:rsidR="004E2AFE" w:rsidRPr="004E2AFE" w:rsidRDefault="00376B15" w:rsidP="00365FD6">
            <w:pPr>
              <w:spacing w:before="60" w:after="60"/>
              <w:jc w:val="both"/>
              <w:rPr>
                <w:rFonts w:ascii="Cambria" w:hAnsi="Cambria"/>
                <w:color w:val="0D0D0D" w:themeColor="text1" w:themeTint="F2"/>
                <w:sz w:val="20"/>
                <w:szCs w:val="20"/>
              </w:rPr>
            </w:pPr>
            <w:r w:rsidRPr="004E2AFE">
              <w:rPr>
                <w:rFonts w:ascii="Cambria" w:hAnsi="Cambria"/>
                <w:color w:val="0D0D0D" w:themeColor="text1" w:themeTint="F2"/>
                <w:sz w:val="20"/>
                <w:szCs w:val="20"/>
              </w:rPr>
              <w:t xml:space="preserve">U slučaju jednostranog </w:t>
            </w:r>
            <w:r w:rsidR="004E2AFE" w:rsidRPr="004E2AFE">
              <w:rPr>
                <w:rFonts w:ascii="Cambria" w:hAnsi="Cambria"/>
                <w:color w:val="0D0D0D" w:themeColor="text1" w:themeTint="F2"/>
                <w:sz w:val="20"/>
                <w:szCs w:val="20"/>
              </w:rPr>
              <w:t>raskida</w:t>
            </w:r>
            <w:r w:rsidRPr="004E2AFE">
              <w:rPr>
                <w:rFonts w:ascii="Cambria" w:hAnsi="Cambria"/>
                <w:color w:val="0D0D0D" w:themeColor="text1" w:themeTint="F2"/>
                <w:sz w:val="20"/>
                <w:szCs w:val="20"/>
              </w:rPr>
              <w:t xml:space="preserve"> </w:t>
            </w:r>
            <w:r w:rsidR="006768B7" w:rsidRPr="004E2AFE">
              <w:rPr>
                <w:rFonts w:ascii="Cambria" w:hAnsi="Cambria"/>
                <w:color w:val="0D0D0D" w:themeColor="text1" w:themeTint="F2"/>
                <w:sz w:val="20"/>
                <w:szCs w:val="20"/>
              </w:rPr>
              <w:t>Ugovora</w:t>
            </w:r>
            <w:r w:rsidRPr="004E2AFE">
              <w:rPr>
                <w:rFonts w:ascii="Cambria" w:hAnsi="Cambria"/>
                <w:color w:val="0D0D0D" w:themeColor="text1" w:themeTint="F2"/>
                <w:sz w:val="20"/>
                <w:szCs w:val="20"/>
              </w:rPr>
              <w:t xml:space="preserve"> rok za otkazivanje je </w:t>
            </w:r>
            <w:r w:rsidR="004E2AFE" w:rsidRPr="004E2AFE">
              <w:rPr>
                <w:rFonts w:ascii="Cambria" w:hAnsi="Cambria"/>
                <w:color w:val="0D0D0D" w:themeColor="text1" w:themeTint="F2"/>
                <w:sz w:val="20"/>
                <w:szCs w:val="20"/>
              </w:rPr>
              <w:t>tri</w:t>
            </w:r>
            <w:r w:rsidRPr="004E2AFE">
              <w:rPr>
                <w:rFonts w:ascii="Cambria" w:hAnsi="Cambria"/>
                <w:color w:val="0D0D0D" w:themeColor="text1" w:themeTint="F2"/>
                <w:sz w:val="20"/>
                <w:szCs w:val="20"/>
              </w:rPr>
              <w:t xml:space="preserve"> (</w:t>
            </w:r>
            <w:r w:rsidR="004E2AFE" w:rsidRPr="004E2AFE">
              <w:rPr>
                <w:rFonts w:ascii="Cambria" w:hAnsi="Cambria"/>
                <w:color w:val="0D0D0D" w:themeColor="text1" w:themeTint="F2"/>
                <w:sz w:val="20"/>
                <w:szCs w:val="20"/>
              </w:rPr>
              <w:t>3</w:t>
            </w:r>
            <w:r w:rsidRPr="004E2AFE">
              <w:rPr>
                <w:rFonts w:ascii="Cambria" w:hAnsi="Cambria"/>
                <w:color w:val="0D0D0D" w:themeColor="text1" w:themeTint="F2"/>
                <w:sz w:val="20"/>
                <w:szCs w:val="20"/>
              </w:rPr>
              <w:t>) meseca, uz prethodn</w:t>
            </w:r>
            <w:r w:rsidR="004E2AFE" w:rsidRPr="004E2AFE">
              <w:rPr>
                <w:rFonts w:ascii="Cambria" w:hAnsi="Cambria"/>
                <w:color w:val="0D0D0D" w:themeColor="text1" w:themeTint="F2"/>
                <w:sz w:val="20"/>
                <w:szCs w:val="20"/>
              </w:rPr>
              <w:t>u</w:t>
            </w:r>
            <w:r w:rsidRPr="004E2AFE">
              <w:rPr>
                <w:rFonts w:ascii="Cambria" w:hAnsi="Cambria"/>
                <w:color w:val="0D0D0D" w:themeColor="text1" w:themeTint="F2"/>
                <w:sz w:val="20"/>
                <w:szCs w:val="20"/>
              </w:rPr>
              <w:t xml:space="preserve"> </w:t>
            </w:r>
            <w:r w:rsidR="004E2AFE" w:rsidRPr="004E2AFE">
              <w:rPr>
                <w:rFonts w:ascii="Cambria" w:hAnsi="Cambria"/>
                <w:color w:val="0D0D0D" w:themeColor="text1" w:themeTint="F2"/>
                <w:sz w:val="20"/>
                <w:szCs w:val="20"/>
              </w:rPr>
              <w:t xml:space="preserve">pismenu izjavu o raskidu Ugovora i </w:t>
            </w:r>
            <w:r w:rsidRPr="004E2AFE">
              <w:rPr>
                <w:rFonts w:ascii="Cambria" w:hAnsi="Cambria"/>
                <w:color w:val="0D0D0D" w:themeColor="text1" w:themeTint="F2"/>
                <w:sz w:val="20"/>
                <w:szCs w:val="20"/>
              </w:rPr>
              <w:t>regulisanje svih međusobnih prava i obaveza.</w:t>
            </w:r>
            <w:r w:rsidR="004E2AFE" w:rsidRPr="004E2AFE">
              <w:rPr>
                <w:rFonts w:ascii="Cambria" w:hAnsi="Cambria"/>
                <w:color w:val="0D0D0D" w:themeColor="text1" w:themeTint="F2"/>
                <w:sz w:val="20"/>
                <w:szCs w:val="20"/>
              </w:rPr>
              <w:t xml:space="preserve"> </w:t>
            </w:r>
          </w:p>
          <w:p w14:paraId="443C266D" w14:textId="0A28C54B" w:rsidR="00CC7EFB" w:rsidRPr="000410CA" w:rsidRDefault="00CC7EFB" w:rsidP="003256F0">
            <w:pPr>
              <w:spacing w:before="120" w:after="60"/>
              <w:jc w:val="both"/>
              <w:rPr>
                <w:rFonts w:ascii="Cambria" w:hAnsi="Cambria"/>
                <w:color w:val="0D0D0D" w:themeColor="text1" w:themeTint="F2"/>
                <w:sz w:val="20"/>
                <w:szCs w:val="20"/>
              </w:rPr>
            </w:pPr>
            <w:r w:rsidRPr="000410CA">
              <w:rPr>
                <w:rFonts w:ascii="Cambria" w:hAnsi="Cambria"/>
                <w:color w:val="0D0D0D" w:themeColor="text1" w:themeTint="F2"/>
                <w:sz w:val="20"/>
                <w:szCs w:val="20"/>
              </w:rPr>
              <w:t>Član 2</w:t>
            </w:r>
            <w:r w:rsidR="00F55FC7">
              <w:rPr>
                <w:rFonts w:ascii="Cambria" w:hAnsi="Cambria"/>
                <w:color w:val="0D0D0D" w:themeColor="text1" w:themeTint="F2"/>
                <w:sz w:val="20"/>
                <w:szCs w:val="20"/>
              </w:rPr>
              <w:t>4</w:t>
            </w:r>
            <w:r w:rsidRPr="000410CA">
              <w:rPr>
                <w:rFonts w:ascii="Cambria" w:hAnsi="Cambria"/>
                <w:color w:val="0D0D0D" w:themeColor="text1" w:themeTint="F2"/>
                <w:sz w:val="20"/>
                <w:szCs w:val="20"/>
              </w:rPr>
              <w:t>.</w:t>
            </w:r>
          </w:p>
          <w:p w14:paraId="6B78156C" w14:textId="19D6C44A" w:rsidR="00CC7EFB" w:rsidRPr="00A37D66" w:rsidRDefault="00CC7EFB" w:rsidP="00365FD6">
            <w:pPr>
              <w:spacing w:before="60" w:after="60"/>
              <w:jc w:val="both"/>
              <w:rPr>
                <w:rFonts w:ascii="Cambria" w:hAnsi="Cambria"/>
                <w:color w:val="0D0D0D" w:themeColor="text1" w:themeTint="F2"/>
                <w:sz w:val="20"/>
                <w:szCs w:val="20"/>
                <w:highlight w:val="yellow"/>
              </w:rPr>
            </w:pPr>
            <w:r w:rsidRPr="00CC7EFB">
              <w:rPr>
                <w:rFonts w:ascii="Cambria" w:hAnsi="Cambria"/>
                <w:color w:val="0D0D0D" w:themeColor="text1" w:themeTint="F2"/>
                <w:sz w:val="20"/>
                <w:szCs w:val="20"/>
              </w:rPr>
              <w:t xml:space="preserve">Za sve što nije predviđeno Ugovorom primenjivaće se odredbe </w:t>
            </w:r>
            <w:r w:rsidRPr="00CC7EFB">
              <w:rPr>
                <w:rFonts w:ascii="Cambria" w:hAnsi="Cambria"/>
                <w:i/>
                <w:iCs/>
                <w:color w:val="0D0D0D" w:themeColor="text1" w:themeTint="F2"/>
                <w:sz w:val="20"/>
                <w:szCs w:val="20"/>
              </w:rPr>
              <w:t>Zakona o obligacionim odnosima</w:t>
            </w:r>
            <w:r w:rsidRPr="00CC7EFB">
              <w:rPr>
                <w:rFonts w:ascii="Cambria" w:hAnsi="Cambria"/>
                <w:color w:val="0D0D0D" w:themeColor="text1" w:themeTint="F2"/>
                <w:sz w:val="20"/>
                <w:szCs w:val="20"/>
              </w:rPr>
              <w:t>.</w:t>
            </w:r>
          </w:p>
        </w:tc>
      </w:tr>
      <w:tr w:rsidR="00376B15" w:rsidRPr="00A37D66" w14:paraId="001C8FBD" w14:textId="77777777" w:rsidTr="001B5636">
        <w:trPr>
          <w:jc w:val="center"/>
        </w:trPr>
        <w:tc>
          <w:tcPr>
            <w:tcW w:w="9639" w:type="dxa"/>
            <w:gridSpan w:val="2"/>
            <w:tcBorders>
              <w:top w:val="nil"/>
              <w:left w:val="nil"/>
              <w:bottom w:val="single" w:sz="4" w:space="0" w:color="BFBFBF" w:themeColor="background1" w:themeShade="BF"/>
              <w:right w:val="nil"/>
            </w:tcBorders>
          </w:tcPr>
          <w:p w14:paraId="6BD41AF9" w14:textId="6DB66BFA" w:rsidR="00376B15" w:rsidRPr="006768B7" w:rsidRDefault="00376B15" w:rsidP="00365FD6">
            <w:pPr>
              <w:spacing w:before="60" w:after="60"/>
              <w:jc w:val="both"/>
              <w:rPr>
                <w:rFonts w:ascii="Cambria" w:hAnsi="Cambria"/>
                <w:b/>
                <w:bCs/>
                <w:color w:val="0D0D0D" w:themeColor="text1" w:themeTint="F2"/>
                <w:sz w:val="20"/>
                <w:szCs w:val="20"/>
              </w:rPr>
            </w:pPr>
            <w:r w:rsidRPr="006768B7">
              <w:rPr>
                <w:rFonts w:ascii="Cambria" w:hAnsi="Cambria"/>
                <w:b/>
                <w:bCs/>
                <w:color w:val="0D0D0D" w:themeColor="text1" w:themeTint="F2"/>
                <w:sz w:val="20"/>
                <w:szCs w:val="20"/>
              </w:rPr>
              <w:t>Stupanje na snagu</w:t>
            </w:r>
            <w:r w:rsidR="006768B7" w:rsidRPr="006768B7">
              <w:rPr>
                <w:rFonts w:ascii="Cambria" w:hAnsi="Cambria"/>
                <w:b/>
                <w:bCs/>
                <w:color w:val="0D0D0D" w:themeColor="text1" w:themeTint="F2"/>
                <w:sz w:val="20"/>
                <w:szCs w:val="20"/>
              </w:rPr>
              <w:t xml:space="preserve"> Ugovora</w:t>
            </w:r>
          </w:p>
          <w:p w14:paraId="431BB1BA" w14:textId="1124AE68" w:rsidR="00376B15" w:rsidRPr="000410CA" w:rsidRDefault="00376B15" w:rsidP="00365FD6">
            <w:pPr>
              <w:spacing w:before="120" w:after="60"/>
              <w:jc w:val="both"/>
              <w:rPr>
                <w:rFonts w:ascii="Cambria" w:hAnsi="Cambria"/>
                <w:color w:val="0D0D0D" w:themeColor="text1" w:themeTint="F2"/>
                <w:sz w:val="20"/>
                <w:szCs w:val="20"/>
              </w:rPr>
            </w:pPr>
            <w:r w:rsidRPr="000410CA">
              <w:rPr>
                <w:rFonts w:ascii="Cambria" w:hAnsi="Cambria"/>
                <w:color w:val="0D0D0D" w:themeColor="text1" w:themeTint="F2"/>
                <w:sz w:val="20"/>
                <w:szCs w:val="20"/>
              </w:rPr>
              <w:t>Član 2</w:t>
            </w:r>
            <w:r w:rsidR="00F55FC7">
              <w:rPr>
                <w:rFonts w:ascii="Cambria" w:hAnsi="Cambria"/>
                <w:color w:val="0D0D0D" w:themeColor="text1" w:themeTint="F2"/>
                <w:sz w:val="20"/>
                <w:szCs w:val="20"/>
              </w:rPr>
              <w:t>5</w:t>
            </w:r>
            <w:r w:rsidR="00365FD6" w:rsidRPr="000410CA">
              <w:rPr>
                <w:rFonts w:ascii="Cambria" w:hAnsi="Cambria"/>
                <w:color w:val="0D0D0D" w:themeColor="text1" w:themeTint="F2"/>
                <w:sz w:val="20"/>
                <w:szCs w:val="20"/>
              </w:rPr>
              <w:t>.</w:t>
            </w:r>
          </w:p>
          <w:p w14:paraId="187DFC5F" w14:textId="2B4A343F" w:rsidR="00376B15" w:rsidRPr="006768B7" w:rsidRDefault="006768B7" w:rsidP="00365FD6">
            <w:pPr>
              <w:spacing w:before="60" w:after="60"/>
              <w:jc w:val="both"/>
              <w:rPr>
                <w:rFonts w:ascii="Cambria" w:hAnsi="Cambria"/>
                <w:color w:val="0D0D0D" w:themeColor="text1" w:themeTint="F2"/>
                <w:sz w:val="20"/>
                <w:szCs w:val="20"/>
              </w:rPr>
            </w:pPr>
            <w:r w:rsidRPr="006768B7">
              <w:rPr>
                <w:rFonts w:ascii="Cambria" w:hAnsi="Cambria"/>
                <w:color w:val="0D0D0D" w:themeColor="text1" w:themeTint="F2"/>
                <w:sz w:val="20"/>
                <w:szCs w:val="20"/>
              </w:rPr>
              <w:t>Ugovor</w:t>
            </w:r>
            <w:r w:rsidR="00376B15" w:rsidRPr="006768B7">
              <w:rPr>
                <w:rFonts w:ascii="Cambria" w:hAnsi="Cambria"/>
                <w:color w:val="0D0D0D" w:themeColor="text1" w:themeTint="F2"/>
                <w:sz w:val="20"/>
                <w:szCs w:val="20"/>
              </w:rPr>
              <w:t xml:space="preserve"> stupa na snagu datumom potpisivanja od strane ovlašćenih lica Naručioca usluge i Izvršioca usluge.</w:t>
            </w:r>
          </w:p>
          <w:p w14:paraId="34478D26" w14:textId="0276042A" w:rsidR="00376B15" w:rsidRPr="000410CA" w:rsidRDefault="00376B15" w:rsidP="00365FD6">
            <w:pPr>
              <w:spacing w:before="120" w:after="60"/>
              <w:jc w:val="both"/>
              <w:rPr>
                <w:rFonts w:ascii="Cambria" w:hAnsi="Cambria"/>
                <w:color w:val="0D0D0D" w:themeColor="text1" w:themeTint="F2"/>
                <w:sz w:val="20"/>
                <w:szCs w:val="20"/>
              </w:rPr>
            </w:pPr>
            <w:r w:rsidRPr="000410CA">
              <w:rPr>
                <w:rFonts w:ascii="Cambria" w:hAnsi="Cambria"/>
                <w:color w:val="0D0D0D" w:themeColor="text1" w:themeTint="F2"/>
                <w:sz w:val="20"/>
                <w:szCs w:val="20"/>
              </w:rPr>
              <w:t>Član 2</w:t>
            </w:r>
            <w:r w:rsidR="00F55FC7">
              <w:rPr>
                <w:rFonts w:ascii="Cambria" w:hAnsi="Cambria"/>
                <w:color w:val="0D0D0D" w:themeColor="text1" w:themeTint="F2"/>
                <w:sz w:val="20"/>
                <w:szCs w:val="20"/>
              </w:rPr>
              <w:t>6</w:t>
            </w:r>
            <w:r w:rsidR="00365FD6" w:rsidRPr="000410CA">
              <w:rPr>
                <w:rFonts w:ascii="Cambria" w:hAnsi="Cambria"/>
                <w:color w:val="0D0D0D" w:themeColor="text1" w:themeTint="F2"/>
                <w:sz w:val="20"/>
                <w:szCs w:val="20"/>
              </w:rPr>
              <w:t>.</w:t>
            </w:r>
          </w:p>
          <w:p w14:paraId="55DFA728" w14:textId="37B65025" w:rsidR="00376B15" w:rsidRPr="00A37D66" w:rsidRDefault="00376B15" w:rsidP="00365FD6">
            <w:pPr>
              <w:spacing w:before="60" w:after="60"/>
              <w:jc w:val="both"/>
              <w:rPr>
                <w:rFonts w:ascii="Cambria" w:hAnsi="Cambria"/>
                <w:color w:val="0D0D0D" w:themeColor="text1" w:themeTint="F2"/>
                <w:sz w:val="20"/>
                <w:szCs w:val="20"/>
                <w:highlight w:val="yellow"/>
              </w:rPr>
            </w:pPr>
            <w:r w:rsidRPr="00864E86">
              <w:rPr>
                <w:rFonts w:ascii="Cambria" w:hAnsi="Cambria"/>
                <w:color w:val="0D0D0D" w:themeColor="text1" w:themeTint="F2"/>
                <w:sz w:val="20"/>
                <w:szCs w:val="20"/>
              </w:rPr>
              <w:t xml:space="preserve">Ovaj </w:t>
            </w:r>
            <w:r w:rsidR="00864E86" w:rsidRPr="00864E86">
              <w:rPr>
                <w:rFonts w:ascii="Cambria" w:hAnsi="Cambria"/>
                <w:color w:val="0D0D0D" w:themeColor="text1" w:themeTint="F2"/>
                <w:sz w:val="20"/>
                <w:szCs w:val="20"/>
              </w:rPr>
              <w:t xml:space="preserve"> Ugovor</w:t>
            </w:r>
            <w:r w:rsidRPr="00864E86">
              <w:rPr>
                <w:rFonts w:ascii="Cambria" w:hAnsi="Cambria"/>
                <w:color w:val="0D0D0D" w:themeColor="text1" w:themeTint="F2"/>
                <w:sz w:val="20"/>
                <w:szCs w:val="20"/>
              </w:rPr>
              <w:t xml:space="preserve"> je sačinjen u dva</w:t>
            </w:r>
            <w:r w:rsidR="00864E86" w:rsidRPr="00864E86">
              <w:rPr>
                <w:rFonts w:ascii="Cambria" w:hAnsi="Cambria"/>
                <w:color w:val="0D0D0D" w:themeColor="text1" w:themeTint="F2"/>
                <w:sz w:val="20"/>
                <w:szCs w:val="20"/>
              </w:rPr>
              <w:t xml:space="preserve"> (2)</w:t>
            </w:r>
            <w:r w:rsidRPr="00864E86">
              <w:rPr>
                <w:rFonts w:ascii="Cambria" w:hAnsi="Cambria"/>
                <w:color w:val="0D0D0D" w:themeColor="text1" w:themeTint="F2"/>
                <w:sz w:val="20"/>
                <w:szCs w:val="20"/>
              </w:rPr>
              <w:t xml:space="preserve"> istovetna primerka, od kojih svaka ugovorna strana zadržava po jedan</w:t>
            </w:r>
            <w:r w:rsidR="00864E86" w:rsidRPr="00864E86">
              <w:rPr>
                <w:rFonts w:ascii="Cambria" w:hAnsi="Cambria"/>
                <w:color w:val="0D0D0D" w:themeColor="text1" w:themeTint="F2"/>
                <w:sz w:val="20"/>
                <w:szCs w:val="20"/>
              </w:rPr>
              <w:t xml:space="preserve"> (1)</w:t>
            </w:r>
            <w:r w:rsidRPr="00864E86">
              <w:rPr>
                <w:rFonts w:ascii="Cambria" w:hAnsi="Cambria"/>
                <w:color w:val="0D0D0D" w:themeColor="text1" w:themeTint="F2"/>
                <w:sz w:val="20"/>
                <w:szCs w:val="20"/>
              </w:rPr>
              <w:t xml:space="preserve"> primerak.</w:t>
            </w:r>
          </w:p>
        </w:tc>
      </w:tr>
      <w:tr w:rsidR="00376B15" w:rsidRPr="00A37D66" w14:paraId="613A9FD3" w14:textId="77777777" w:rsidTr="001B5636">
        <w:trPr>
          <w:jc w:val="center"/>
        </w:trPr>
        <w:tc>
          <w:tcPr>
            <w:tcW w:w="4819" w:type="dxa"/>
            <w:tcBorders>
              <w:top w:val="single" w:sz="4" w:space="0" w:color="BFBFBF" w:themeColor="background1" w:themeShade="BF"/>
              <w:left w:val="nil"/>
              <w:bottom w:val="nil"/>
              <w:right w:val="nil"/>
            </w:tcBorders>
          </w:tcPr>
          <w:p w14:paraId="5B961B8D" w14:textId="77777777" w:rsidR="00376B15" w:rsidRPr="00A37D66" w:rsidRDefault="00376B15" w:rsidP="00A85180">
            <w:pPr>
              <w:spacing w:before="120" w:after="60"/>
              <w:jc w:val="both"/>
              <w:rPr>
                <w:rFonts w:ascii="Cambria" w:hAnsi="Cambria"/>
                <w:color w:val="0D0D0D" w:themeColor="text1" w:themeTint="F2"/>
                <w:sz w:val="6"/>
                <w:szCs w:val="6"/>
                <w:highlight w:val="yellow"/>
              </w:rPr>
            </w:pPr>
          </w:p>
        </w:tc>
        <w:tc>
          <w:tcPr>
            <w:tcW w:w="4820" w:type="dxa"/>
            <w:tcBorders>
              <w:top w:val="single" w:sz="4" w:space="0" w:color="BFBFBF" w:themeColor="background1" w:themeShade="BF"/>
              <w:left w:val="nil"/>
              <w:bottom w:val="nil"/>
              <w:right w:val="nil"/>
            </w:tcBorders>
          </w:tcPr>
          <w:p w14:paraId="58A230E5" w14:textId="7B8C9752" w:rsidR="00376B15" w:rsidRPr="00A37D66" w:rsidRDefault="00376B15" w:rsidP="00A85180">
            <w:pPr>
              <w:spacing w:before="120" w:after="60"/>
              <w:jc w:val="both"/>
              <w:rPr>
                <w:rFonts w:ascii="Cambria" w:hAnsi="Cambria"/>
                <w:color w:val="0D0D0D" w:themeColor="text1" w:themeTint="F2"/>
                <w:sz w:val="6"/>
                <w:szCs w:val="6"/>
                <w:highlight w:val="yellow"/>
              </w:rPr>
            </w:pPr>
          </w:p>
        </w:tc>
      </w:tr>
      <w:tr w:rsidR="00376B15" w:rsidRPr="00A37D66" w14:paraId="7176A54F" w14:textId="77777777" w:rsidTr="001B5636">
        <w:trPr>
          <w:jc w:val="center"/>
        </w:trPr>
        <w:tc>
          <w:tcPr>
            <w:tcW w:w="4819" w:type="dxa"/>
            <w:tcBorders>
              <w:top w:val="nil"/>
              <w:left w:val="nil"/>
              <w:bottom w:val="nil"/>
              <w:right w:val="nil"/>
            </w:tcBorders>
          </w:tcPr>
          <w:p w14:paraId="211354E8" w14:textId="6738A629" w:rsidR="00376B15" w:rsidRPr="00864E86" w:rsidRDefault="00376B15" w:rsidP="00C46585">
            <w:pPr>
              <w:spacing w:before="60" w:after="60"/>
              <w:jc w:val="both"/>
              <w:rPr>
                <w:rFonts w:ascii="Cambria" w:hAnsi="Cambria"/>
                <w:b/>
                <w:bCs/>
                <w:color w:val="0D0D0D" w:themeColor="text1" w:themeTint="F2"/>
                <w:sz w:val="20"/>
                <w:szCs w:val="20"/>
              </w:rPr>
            </w:pPr>
            <w:r w:rsidRPr="00864E86">
              <w:rPr>
                <w:rFonts w:ascii="Cambria" w:hAnsi="Cambria"/>
                <w:i/>
                <w:iCs/>
                <w:sz w:val="20"/>
                <w:szCs w:val="20"/>
              </w:rPr>
              <w:t>Naručilac usluge</w:t>
            </w:r>
          </w:p>
        </w:tc>
        <w:tc>
          <w:tcPr>
            <w:tcW w:w="4820" w:type="dxa"/>
            <w:tcBorders>
              <w:top w:val="nil"/>
              <w:left w:val="nil"/>
              <w:bottom w:val="nil"/>
              <w:right w:val="nil"/>
            </w:tcBorders>
          </w:tcPr>
          <w:p w14:paraId="7DAD03C5" w14:textId="549DBC43" w:rsidR="00376B15" w:rsidRPr="00864E86" w:rsidRDefault="00376B15" w:rsidP="00C46585">
            <w:pPr>
              <w:spacing w:before="60" w:after="60"/>
              <w:jc w:val="both"/>
              <w:rPr>
                <w:rFonts w:ascii="Cambria" w:hAnsi="Cambria"/>
                <w:b/>
                <w:bCs/>
                <w:color w:val="0D0D0D" w:themeColor="text1" w:themeTint="F2"/>
                <w:sz w:val="20"/>
                <w:szCs w:val="20"/>
              </w:rPr>
            </w:pPr>
            <w:r w:rsidRPr="00864E86">
              <w:rPr>
                <w:rFonts w:ascii="Cambria" w:hAnsi="Cambria"/>
                <w:i/>
                <w:iCs/>
                <w:sz w:val="20"/>
                <w:szCs w:val="20"/>
              </w:rPr>
              <w:t>Izvršilac usluge</w:t>
            </w:r>
          </w:p>
        </w:tc>
      </w:tr>
      <w:tr w:rsidR="00376B15" w:rsidRPr="00A37D66" w14:paraId="2D09260F" w14:textId="77777777" w:rsidTr="001B5636">
        <w:trPr>
          <w:jc w:val="center"/>
        </w:trPr>
        <w:tc>
          <w:tcPr>
            <w:tcW w:w="4819" w:type="dxa"/>
            <w:tcBorders>
              <w:top w:val="nil"/>
              <w:left w:val="nil"/>
              <w:bottom w:val="nil"/>
              <w:right w:val="nil"/>
            </w:tcBorders>
          </w:tcPr>
          <w:p w14:paraId="00E1ABDE" w14:textId="4498FA1E" w:rsidR="00376B15" w:rsidRPr="00864E86" w:rsidRDefault="00376B15" w:rsidP="00C46585">
            <w:pPr>
              <w:spacing w:before="60" w:after="60"/>
              <w:jc w:val="both"/>
              <w:rPr>
                <w:rFonts w:ascii="Cambria" w:hAnsi="Cambria"/>
                <w:i/>
                <w:iCs/>
                <w:sz w:val="20"/>
                <w:szCs w:val="20"/>
              </w:rPr>
            </w:pPr>
            <w:r w:rsidRPr="00864E86">
              <w:rPr>
                <w:rFonts w:ascii="Cambria" w:hAnsi="Cambria"/>
                <w:i/>
                <w:iCs/>
                <w:sz w:val="20"/>
                <w:szCs w:val="20"/>
              </w:rPr>
              <w:t>...................................................</w:t>
            </w:r>
          </w:p>
        </w:tc>
        <w:tc>
          <w:tcPr>
            <w:tcW w:w="4820" w:type="dxa"/>
            <w:tcBorders>
              <w:top w:val="nil"/>
              <w:left w:val="nil"/>
              <w:bottom w:val="nil"/>
              <w:right w:val="nil"/>
            </w:tcBorders>
          </w:tcPr>
          <w:p w14:paraId="6C8B09F0" w14:textId="3255F466" w:rsidR="00376B15" w:rsidRPr="00864E86" w:rsidRDefault="00376B15" w:rsidP="00C46585">
            <w:pPr>
              <w:spacing w:before="60" w:after="60"/>
              <w:jc w:val="both"/>
              <w:rPr>
                <w:rFonts w:ascii="Cambria" w:hAnsi="Cambria"/>
                <w:i/>
                <w:iCs/>
                <w:sz w:val="20"/>
                <w:szCs w:val="20"/>
              </w:rPr>
            </w:pPr>
            <w:r w:rsidRPr="00864E86">
              <w:rPr>
                <w:rFonts w:ascii="Cambria" w:hAnsi="Cambria"/>
                <w:i/>
                <w:iCs/>
                <w:sz w:val="20"/>
                <w:szCs w:val="20"/>
              </w:rPr>
              <w:t>Institut VATROGAS d.o.o</w:t>
            </w:r>
          </w:p>
        </w:tc>
      </w:tr>
      <w:tr w:rsidR="00376B15" w:rsidRPr="00B804E3" w14:paraId="244B2772" w14:textId="77777777" w:rsidTr="001B5636">
        <w:trPr>
          <w:jc w:val="center"/>
        </w:trPr>
        <w:tc>
          <w:tcPr>
            <w:tcW w:w="4819" w:type="dxa"/>
            <w:tcBorders>
              <w:top w:val="nil"/>
              <w:left w:val="nil"/>
              <w:bottom w:val="nil"/>
              <w:right w:val="nil"/>
            </w:tcBorders>
          </w:tcPr>
          <w:p w14:paraId="2928EAFE" w14:textId="7FE50C98" w:rsidR="00376B15" w:rsidRPr="00864E86" w:rsidRDefault="00376B15" w:rsidP="00C46585">
            <w:pPr>
              <w:spacing w:before="60" w:after="60"/>
              <w:jc w:val="both"/>
              <w:rPr>
                <w:rFonts w:ascii="Cambria" w:hAnsi="Cambria"/>
                <w:i/>
                <w:iCs/>
                <w:sz w:val="20"/>
                <w:szCs w:val="20"/>
              </w:rPr>
            </w:pPr>
            <w:r w:rsidRPr="00864E86">
              <w:rPr>
                <w:rFonts w:ascii="Cambria" w:hAnsi="Cambria"/>
                <w:i/>
                <w:iCs/>
                <w:sz w:val="20"/>
                <w:szCs w:val="20"/>
              </w:rPr>
              <w:t>....................................................</w:t>
            </w:r>
          </w:p>
        </w:tc>
        <w:tc>
          <w:tcPr>
            <w:tcW w:w="4820" w:type="dxa"/>
            <w:tcBorders>
              <w:top w:val="nil"/>
              <w:left w:val="nil"/>
              <w:bottom w:val="nil"/>
              <w:right w:val="nil"/>
            </w:tcBorders>
          </w:tcPr>
          <w:p w14:paraId="21CBD8DC" w14:textId="0780169A" w:rsidR="00376B15" w:rsidRPr="00B804E3" w:rsidRDefault="00376B15" w:rsidP="00C46585">
            <w:pPr>
              <w:spacing w:before="60" w:after="60"/>
              <w:jc w:val="both"/>
              <w:rPr>
                <w:rFonts w:ascii="Cambria" w:hAnsi="Cambria"/>
                <w:i/>
                <w:iCs/>
                <w:sz w:val="20"/>
                <w:szCs w:val="20"/>
              </w:rPr>
            </w:pPr>
            <w:r w:rsidRPr="00864E86">
              <w:rPr>
                <w:rFonts w:ascii="Cambria" w:hAnsi="Cambria"/>
                <w:i/>
                <w:iCs/>
                <w:sz w:val="20"/>
                <w:szCs w:val="20"/>
              </w:rPr>
              <w:t>Aleksandar Nikolić</w:t>
            </w:r>
            <w:r w:rsidR="001D670B">
              <w:rPr>
                <w:rFonts w:ascii="Cambria" w:hAnsi="Cambria"/>
                <w:i/>
                <w:iCs/>
                <w:sz w:val="20"/>
                <w:szCs w:val="20"/>
              </w:rPr>
              <w:t>, i</w:t>
            </w:r>
            <w:r w:rsidR="001D670B" w:rsidRPr="00864E86">
              <w:rPr>
                <w:rFonts w:ascii="Cambria" w:hAnsi="Cambria"/>
                <w:i/>
                <w:iCs/>
                <w:sz w:val="20"/>
                <w:szCs w:val="20"/>
              </w:rPr>
              <w:t>zvršni direktor</w:t>
            </w:r>
          </w:p>
        </w:tc>
      </w:tr>
    </w:tbl>
    <w:p w14:paraId="06868C46" w14:textId="77777777" w:rsidR="00376B15" w:rsidRDefault="00376B15" w:rsidP="008D63E8"/>
    <w:sectPr w:rsidR="00376B15" w:rsidSect="00A85180">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6E"/>
    <w:rsid w:val="00003362"/>
    <w:rsid w:val="00006C23"/>
    <w:rsid w:val="00024D65"/>
    <w:rsid w:val="000410CA"/>
    <w:rsid w:val="000915C0"/>
    <w:rsid w:val="000A1F7A"/>
    <w:rsid w:val="000A2AD8"/>
    <w:rsid w:val="001723C8"/>
    <w:rsid w:val="00192E26"/>
    <w:rsid w:val="001B5636"/>
    <w:rsid w:val="001D670B"/>
    <w:rsid w:val="0023073D"/>
    <w:rsid w:val="00237B05"/>
    <w:rsid w:val="0024636E"/>
    <w:rsid w:val="003256F0"/>
    <w:rsid w:val="00365FD6"/>
    <w:rsid w:val="00376B15"/>
    <w:rsid w:val="00424E67"/>
    <w:rsid w:val="00490996"/>
    <w:rsid w:val="004E2AFE"/>
    <w:rsid w:val="00577B5B"/>
    <w:rsid w:val="005B4FDA"/>
    <w:rsid w:val="00645DE4"/>
    <w:rsid w:val="00652524"/>
    <w:rsid w:val="006768B7"/>
    <w:rsid w:val="006A2C0C"/>
    <w:rsid w:val="006A4F1E"/>
    <w:rsid w:val="007A67DA"/>
    <w:rsid w:val="00864E86"/>
    <w:rsid w:val="0086704A"/>
    <w:rsid w:val="00882D41"/>
    <w:rsid w:val="00897A30"/>
    <w:rsid w:val="008D5CA0"/>
    <w:rsid w:val="008D63E8"/>
    <w:rsid w:val="00A04545"/>
    <w:rsid w:val="00A37D66"/>
    <w:rsid w:val="00A64694"/>
    <w:rsid w:val="00A85180"/>
    <w:rsid w:val="00B507AA"/>
    <w:rsid w:val="00B5532C"/>
    <w:rsid w:val="00B64F6E"/>
    <w:rsid w:val="00B804E3"/>
    <w:rsid w:val="00B9565A"/>
    <w:rsid w:val="00C312F1"/>
    <w:rsid w:val="00C46585"/>
    <w:rsid w:val="00C50344"/>
    <w:rsid w:val="00CC64D9"/>
    <w:rsid w:val="00CC7EFB"/>
    <w:rsid w:val="00CD2485"/>
    <w:rsid w:val="00D8218C"/>
    <w:rsid w:val="00E10C50"/>
    <w:rsid w:val="00E65A77"/>
    <w:rsid w:val="00EB2DC4"/>
    <w:rsid w:val="00F5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E6EFE"/>
  <w15:chartTrackingRefBased/>
  <w15:docId w15:val="{2B72D37B-AF02-4ADB-B782-EA91E5C3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4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6B15"/>
    <w:pPr>
      <w:autoSpaceDE w:val="0"/>
      <w:autoSpaceDN w:val="0"/>
      <w:adjustRightInd w:val="0"/>
      <w:spacing w:after="0" w:line="240" w:lineRule="auto"/>
    </w:pPr>
    <w:rPr>
      <w:rFonts w:ascii="Calibri" w:hAnsi="Calibri" w:cs="Calibri"/>
      <w:color w:val="000000"/>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1450</Words>
  <Characters>8271</Characters>
  <Application>Microsoft Office Word</Application>
  <DocSecurity>0</DocSecurity>
  <Lines>68</Lines>
  <Paragraphs>19</Paragraphs>
  <ScaleCrop>false</ScaleCrop>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ZZS Institut Vatrogas</dc:creator>
  <cp:keywords/>
  <dc:description/>
  <cp:lastModifiedBy>Ruzica Cvetkovic</cp:lastModifiedBy>
  <cp:revision>5</cp:revision>
  <dcterms:created xsi:type="dcterms:W3CDTF">2022-11-07T07:36:00Z</dcterms:created>
  <dcterms:modified xsi:type="dcterms:W3CDTF">2022-11-07T07:39:00Z</dcterms:modified>
</cp:coreProperties>
</file>